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93EC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5E1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5E1078" w:rsidP="005E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B1e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Využití výstupů vzniklých v rámci IPo a IPn na podporu badatelsky orientovaného vzdělávání s přírodovědným a technickým zaměřením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267218" w:rsidRPr="006C37DC" w:rsidRDefault="0026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267218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67218"/>
    <w:rsid w:val="00274A40"/>
    <w:rsid w:val="002906C3"/>
    <w:rsid w:val="00293B1F"/>
    <w:rsid w:val="00293ECC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5E1078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6624D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2014-01-09T10:35:00Z</dcterms:modified>
</cp:coreProperties>
</file>