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A.1. Informace podle § 7 odst. 3 zákona</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Účetní jednotka Ústecký kraj nepřetržitě pokračuje i v následujícím účetním období ve své činnosti, nedošlo ke změnám metody z důvody ukončení činnosti, nenastala žádná skutečnost, která by ji omezovala nebo ji zabraňovala v této činnosti pokračovat i v dohledné době.</w:t>
            </w: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A.2. Informace podle § 7 odst. 4 zákona</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Uspořádání a označování položek rozvahy a výkazu zisku a ztráty a jejich obsahové vymezení a způsoby oceňování jsou v souladu s prováděcí vyhláškou k zákonu o účetnictví (od 1. 1. 2010 vyhl. č. 410/2009 Sb.) další změny specifické pro účetní jednotku nebyly v roce 2020 prováděny.</w:t>
            </w: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A.3. Informace podle § 7 odst. 5 zákona</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Použité účetní metody odpovídají platné legislativě, jsou upřesněny ve vnitřních předpisech kraje, zejména ve směrnicích k účetnictví a majetku k vnitřnímu kontrolnímu systému a k vymáhání pohledávek. Pro vedení účetnictví je použiván ekonomicko-informační systém Microsoft Dynamics NAV Classic dodržováním stanovené metodiky a závazných analytik účtů pro zajištění správnosti jednotlivých výkazů. Od 1. 7. 2019 byl ekonomicko-informační systém NAV povýšen na verzi NAV 2018, zároveň byl přidán modul na tvorbu podmíněných pohledávek a závazků, kdy při založení smlouvy nad 10 mil. Kč se automaticky účtuje na podrozvahové účty. Ústecký kraj i v roce 2020 účtuje pouze o hlavní činnosti, (hospodářská) činnost nebyla na kraji vymezena. Od 1. 8. 2009 je Ústecký kraj plátcem DPH. Oceňování majetku se od roku 2010 nezměnilo - majetek určený k prodeji je oceňován reálnou hodnotou definovanou zákonem, bližší upřesnění je uvedeno ve vnitřních předpisech Ústeckého kraje. Používání cizí měny je v účetnictví upraveno ve vnitřním předpise. Pohledávky a závazky se oceňují stanoveným pevným kurzem, který je určen podle kurzu cizích měn vyhlášených ČNB k 1.1. a 1. 7. daného roku. Další používané účetní postupy a zásady. Pořizování a vyřazování majetku se provádí prostřednictvím vnitřních předpisů - drobný dlouhodobý nehmotný majetek v pořizovací ceně od 7.000,-- Kč do 60.000,--Kč. Drobný dlouhodobý hmotný majetek v pořizovací ceně od 3.000,-- do 40.000,-- Kč. Na veškerý odpisovaný majetek je používán rovnoměrný způsob odpisování. Na účtech poskytnutých a přijatých transferů je postupováno podle Českého účetního standardu č. 703 s ohledem na okamžik poskytnutí nebo přijetí zálohy a okamžik vypořádání, pokud je období delší než jeden rok, považuje se tato záloha za dlouhodobou, ostatní zálohy se považují za krátkodobé. Tvorba a čerpání fondů se účtuje i v roce 2020 stejně, tzn. prostřednictvím příslušných nákladových a výnosových účtů. Ústecký kraj měl v roce 2020 sedm účelových fondů - Fond zaměstnavatele, Fond Ústeckého kraje, Fond životního prostředí, Regionální a podpůrný fond, Fond investic a oprav, Fond regionálního rozvoje, Fond mimořádných událostí, Fond vodního hospodářství, jejich hospodaření se řídí schválenými statuty. Metoda časového rozlišení byla v roce 2020 použita pro případy přesahující 100.000,-- Kč, až k rozvahovému dni tj. 31. 12. 2020. Stav podrozvahových účtů je samostatnou přílohou účetní závěrky. Podmíněné pohledávky a závazky ze smluv o dílo účtuje Ústecký kraj od výše 10 mil. Kč, opravy dlouhodobého majetku od výše 30 mil. Kč. Ústecký kraj zpracovává od roku 2012 Pomocný analytický přehled, od roku 2015 zpracovává rozšířený PAP pro vykazování konsolidačních partnerů.</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lastRenderedPageBreak/>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A.4. Informace podle § 7 odst. 5 zákona o stavu účtů v knize podrozvahových účtů</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9"/>
        <w:gridCol w:w="1293"/>
        <w:gridCol w:w="3270"/>
        <w:gridCol w:w="1712"/>
        <w:gridCol w:w="1712"/>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Číslo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Syntetický účet</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Název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minulé</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P.I.</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901</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Majetek a závazky účetní jednotky</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31363106524.53</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30773188017.79</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901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Jiný drobný dlouhodobý nehmotný majetek</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34920743.38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32483675.56</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902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Jiný drobný dlouhodobý hmotný majetek</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20128488.04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20922509.12</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905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Vyřazené pohledávky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2684907.78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8040526.86</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906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Vyřazené závazky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909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majetek</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31305372385.33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30711741306.25</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P.II.</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Krátkodobé podmíněné pohledávky z transferů a krátkodobé podmíněné závazky z transferů</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548034.72</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549410.00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911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 předfinancování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912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 předfinancování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913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ze zahraničních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548034.72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549410.00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914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ze zahraničních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915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krátkodobé podmíněné pohledávky z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916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krátkodobé podmíněné závazky z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P.III.</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Podmíněné pohledávky z důvodu užívání majetku jinou osobou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22703457.30</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22703457.30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P.III.1.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921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 důvodu úplatného užívání majetku jinou osobou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P.III.2.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922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 důvodou úplatného užívání majetku jinou osobou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lastRenderedPageBreak/>
              <w:t>P.III.3.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923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 důvodu užívání majetku jinou osobou na základě smlouvy o výpůjčce</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22703457.30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22703457.30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P.III.4.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924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 důvodu užívání majetku jinou osobou na základě smlouvy o výpůjčce</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P.III.5.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925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 důvodu užívání majetku jinou osobou z jiných důvodů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P.III.6.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926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 důvodu užívání majetku jinou osobou z jiných důvodů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P.IV.</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Další podmíněné pohledávky</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298995283.83</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268979472.11</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931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ze smluv o prodeji dlouhodobého majetku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932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ze smluv o prodeji dlouhodobého majetku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933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 jiných smluv</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14198298.60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934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 jiných smluv</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155351131.08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167836343.05</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939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ze sdílených daní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941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ze sdílených daní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942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ze vztahu k jiným zdrojům</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943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ze vztahu k jiným zdrojům</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944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úhrady pohledávek z přijatých zajištění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P.IV.10.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945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úhrady pohledávek z přijatých zajištění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129445854.15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101143129.06</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P.IV.11.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947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pohledávky ze soudních sporů, správních řízení a jiných řízení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P.IV.12.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948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ze soudních sporů, správních řízení a jiných řízení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P.V.</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Dlouhodobé podmíněné pohledávky z transferů a dlouhodobé podmíněné závazky z transferů</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1134179852.04</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1535582049.43</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lastRenderedPageBreak/>
              <w:t>P.V.1.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951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 předfinancování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952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 předfinancování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953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pohledávky ze zahraničních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47521894.06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41613684.28</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954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ze zahraničních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955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dlouhodobé podmíněné pohledávky z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1086657957.98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1493968365.15</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956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dlouhodobé podmíněné závazky z transferů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P.VI.</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Podmíněné závazky z důvodu užívání cizího majetku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22703457.30</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22703457.30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961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 operativního leasingu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962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 operativního leasingu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963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 finančního leasingu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964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 finančního leasingu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965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 důvodu užívání cizího majetku na základě smlouvy o výpůjčce</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22703457.30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22703457.30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966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 důvodu užívání cizího majetku na základě smlouvy o výpůjčce</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967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 důvodu užívání cizího majetku nebo jeho převzetí z jiných důvodů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968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 důvodu užívání cizího majetku nebo jeho převzetí z jiných důvodů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P.VII.</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Další podmíněné závazky</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16738290138.78</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14062345040.77</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971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ze smluv o pořízení dlouhodobého majetku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512238054.16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314527122.84</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972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ze smluv o pořízení dlouhodobého majetku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889355661.60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881116017.17</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973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 jiných smluv</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1548146637.16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93479300.00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974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 jiných smluv</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13719085138.06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12707497077.86</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975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 přijatého kolaterálu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lastRenderedPageBreak/>
              <w:t>P.VII.6.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976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 přijatého kolaterálu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978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vyplývající z právních předpisů a další činnosti moci zákonodárné, výkonné nebo soudní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979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vyplývající z právních předpisů a další činnosti moci zákonodárné, výkonné nebo soudní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981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 poskytnutých garancí jednorázových</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P.VII.10.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982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 poskytnutých garancí jednorázových</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22464647.80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18725522.90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P.VII.11.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983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 poskytnutých garancí ostatních</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P.VII.12.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984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 poskytnutých garancí ostatních</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P.VII.13.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985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Krátkodobé podmíněné závazky ze soudních sporů, správních řízení a jiných řízení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P.VII.14.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986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Dlouhodobé podmíněné závazky ze soudních sporů, správních řízení a jiných řízení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47000000.00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47000000.00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P.VIII.</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Ostatní podmíněná aktiva a ostatní podmíněná pasiva a vyrovnávací účty</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5939606000.00</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5939606000.00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P.VIII.1.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991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krátkodobá podmíněná aktiva</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1237016000.00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1237016000.00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P.VIII.2.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992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dlouhodobá podmíněná aktiva</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1732787000.00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1732787000.00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P.VIII.3.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993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krátkodobá podmíněná pasiva</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1237016000.00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1237016000.00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P.VIII.4.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994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dlouhodobá podmíněná pasiva</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1732787000.00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1732787000.00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P.VIII.5.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999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Vyrovnávací účet k podrozvahovým účtům</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16058539556.34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18515953908.56</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lastRenderedPageBreak/>
        <w:t>A.5. Informace podle § 18 odst. 3 písm. b) zákona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A.5. Informace podle § 18 odst. 3 písm. b) zákona</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IČ: 70892156 Ústecký kraj subjekt vznikl dle zákona č. 129/200 Sb., o krajích dne 12. 11. 2000 Ústecký kraj není zapsán ve veřejném rejstříku</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A.6. Informace podle § 19 odst. 6 zákona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A.6. Informace podle § 19 odst. 6 zákona</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Nenastaly žádné významné události mezi rozvahovým dnem a okamžikem sestavení účetní závěrky.</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
        <w:gridCol w:w="8456"/>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B.1.</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Informace podle § 66 odst. 6 zákona</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Zápisy do katastru nemovitostí jsou účtovány průběžně během roku.</w:t>
            </w: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B.2.</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Informace podle § 66 odst. 8 zákona</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Netýká se Ústeckého kraje.</w:t>
            </w: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B.3.</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Informace podle § 68 odst. 3 zákona</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Ústecký kraj v I. Q. 2020 provedl mezi přísp. organizacemi vzájemné zápočty v hodnotě 21 mil Kč.</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lastRenderedPageBreak/>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6"/>
        <w:gridCol w:w="5023"/>
        <w:gridCol w:w="1513"/>
        <w:gridCol w:w="1554"/>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Název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minulé</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C.1.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Zvýšení stavu transferů na pořízení dlouhodobého majetku za běžné účetní období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426910746.78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882396966.07</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C.2.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Snížení stavu transferů na pořízení dlouhodobého majetku ve věcné a časové souvislosti</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213158708.69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599510522.55</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
        <w:gridCol w:w="8456"/>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D.1.</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Počet jednotlivých věcí a souborů majetku nebo seznam tohoto majetku</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D.2.</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Celková výměra lesních pozemků s lesním porostem</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D.3.</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Výše ocenění celkové výměry lesních pozemků s lesním porostem ve výši 57 Kč/m2</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D.4.</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Výměra lesních pozemků s lesním porostem oceněných jiným způsobem</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D.5.</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Výše ocenění lesních pozemků s lesním porostem oceněných jiným způsobem</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D.6.</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Průměrná výše ocenění výměry lesních pozemků s lesním porostem oceněných jiným způsobem</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p>
        </w:tc>
      </w:tr>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D.7.</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Komentář k ocenění lesních pozemků jiným způsobem</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Fond kulturních a sociálních potřeb</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lastRenderedPageBreak/>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F. Doplňující informace k fondům účetní jednotky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01"/>
        <w:gridCol w:w="1455"/>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Běžné období</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A.I. Počáteční stav fondu k 1.1.</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A.II. Tvorba fondu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1. Základní příděl</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2. Splátky půjček na bytové účely poskytnutých do konce roku 1992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3. Náhrady škod a pojistná plnění od pojišťovny vztahující se k majetku pořízenému z fondu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4. Peněžní a jiné dary určené do fondu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5. Ostatní tvorba fondu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A.III. Čerpání fondu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1. Půjčky na bytové účely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2. Stravování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3. Rekreace</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4. Kultura, tělovýchova a sport</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5. Sociální výpomoci a půjčky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6. Poskytnuté peněžní dary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7. Úhrada příspěvku na penzijní připojištění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8. Úhrada části pojistného na soukromé životní pojištění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9. Ostatní užití fondu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A.IV. Konečný stav fondu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0.00</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Ostatní fondy</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F. Doplňující informace k fondům účetní jednotky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15"/>
        <w:gridCol w:w="1601"/>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lastRenderedPageBreak/>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Běžné období</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G.I. Počáteční stav fondu k 1.1.</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780180649.15</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G.II. Tvorba fondu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1121936836.16</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1. Přebytky hospodaření z minulých let</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2. Příjmy běžného roku, které nejsou určeny k využití v běžném roce</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171494754.65</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3. Převody prostředků z rozpočtu během roku do účelových peněžních fondů</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950442081.51</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4. Ostatní tvorba fondu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G.III. Čerpání fondu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1094727717.63</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G.IV. Konečný stav fondu</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i/>
                <w:iCs/>
                <w:sz w:val="20"/>
                <w:szCs w:val="20"/>
                <w:lang w:eastAsia="cs-CZ"/>
              </w:rPr>
            </w:pPr>
            <w:r w:rsidRPr="00007642">
              <w:rPr>
                <w:rFonts w:ascii="Arial" w:eastAsia="Times New Roman" w:hAnsi="Arial" w:cs="Arial"/>
                <w:i/>
                <w:iCs/>
                <w:sz w:val="20"/>
                <w:szCs w:val="20"/>
                <w:lang w:eastAsia="cs-CZ"/>
              </w:rPr>
              <w:t>807389767.68</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G. Doplňující informace k položce „A.II.3. Stavby" výkazu rozvahy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
        <w:gridCol w:w="1743"/>
        <w:gridCol w:w="1696"/>
        <w:gridCol w:w="1634"/>
        <w:gridCol w:w="1681"/>
        <w:gridCol w:w="1603"/>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Číslo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 brutto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 korekce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 netto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minulé</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G.</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Stavby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1575266479.19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319674177.00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1255592302.19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1269475313.54</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G.1.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Bytové domy a bytové jednotky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13562423.00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51331151.06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-37768728.06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-37644680.06</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G.2.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Budovy pro služby obyvatelstvu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1347896786.07</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235162140.94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1112734645.13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1123626195.21</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G.3.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Jiné nebytové domy a nebytové jednotky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78703717.24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4535876.00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74167841.24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74962870.51</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G.4.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Komunikace a veřejné osvětlení</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97622321.09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20809222.00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76813099.09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78436393.09</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G.5.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Jiné inženýrské sítě</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11185224.00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2924457.00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8260767.00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8402673.00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G.6.</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stavby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26296007.79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4911330.00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21384677.79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21691861.79</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lastRenderedPageBreak/>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H. Doplňující informace k položce „A.II.1. Pozemky" výkazu rozvahy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
        <w:gridCol w:w="1967"/>
        <w:gridCol w:w="1706"/>
        <w:gridCol w:w="1540"/>
        <w:gridCol w:w="1669"/>
        <w:gridCol w:w="1475"/>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Číslo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 brutto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 korekce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 netto</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minulé</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H.</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Pozemky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88153552.62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88153552.62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88834138.02</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H.1.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Stavební pozemky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H.2.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Lesní pozemky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183854.03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183854.03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236554.03</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H.3.</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Zahrady, pastviny, louky, rybníky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37547824.30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37547824.30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36968299.19</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H.4.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Zastavěná plocha</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15181233.89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15181233.89</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15181233.89</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H.5.</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pozemky</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35240640.40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35240640.40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36448050.91</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I. Doplňující informace k položce "A.II.4. Náklady z přecenění reálnou hodnotou" výkazu zisku a ztráty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6"/>
        <w:gridCol w:w="5335"/>
        <w:gridCol w:w="1350"/>
        <w:gridCol w:w="1405"/>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Název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minulé</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I.</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Náklady z přecenění reálnou hodnotou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I.1.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Náklady z přecenění reálnou hodnotou majetku určeného k prodeji podle § 64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I.2.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náklady z přecenění reálnou hodnotou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lastRenderedPageBreak/>
        <w:t>J. Doplňující informace k položce "B.II.4. Výnosy z přecenění reálnou hodnotou" výkazu zisku a ztráty</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7"/>
        <w:gridCol w:w="5326"/>
        <w:gridCol w:w="1354"/>
        <w:gridCol w:w="1409"/>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Položka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Název položky</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běžné</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Období minulé</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J.</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Výnosy z přecenění reálnou hodnotou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J.1.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Výnosy z přecenění reálnou hodnotou majetku určeného k prodeji podle § 64</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J.2.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Ostatní výnosy z přecenění reálnou hodnotou</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Údaje k poskytnutým garancím jednorázovým</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
        <w:gridCol w:w="576"/>
        <w:gridCol w:w="563"/>
        <w:gridCol w:w="638"/>
        <w:gridCol w:w="611"/>
        <w:gridCol w:w="673"/>
        <w:gridCol w:w="673"/>
        <w:gridCol w:w="673"/>
        <w:gridCol w:w="571"/>
        <w:gridCol w:w="589"/>
        <w:gridCol w:w="589"/>
        <w:gridCol w:w="589"/>
        <w:gridCol w:w="611"/>
        <w:gridCol w:w="611"/>
        <w:gridCol w:w="527"/>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IČ účetní jednotky - věřitele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Název účetní jednotky - věřitele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IČ účetní jednotky - dlužníka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Název účetní jednotky - dlužníka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Datum poskytnutí garance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Hodnota zajištěné pohledávky: celkem</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Hodnota zajištěné pohledávky: jistina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Hodnota zajištěné pohledávky: úrok</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Datum plnění ručitelem v daném roce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Výše plnění ručitelem: celkem</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Výše plnění ručitelem: jistina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Výše plnění ručitelem: úrok</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Celková výše plnění ručitelem od poskytnutí garance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Druh dluhového nástroje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Předmět ručení</w:t>
            </w:r>
          </w:p>
        </w:tc>
      </w:tr>
      <w:tr w:rsidR="00007642" w:rsidRPr="00007642" w:rsidTr="00007642">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45244782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Česká spořitelna, a.s.</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06231292</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Dopravní společnost Ústeckého kraje, přís</w:t>
            </w:r>
            <w:r w:rsidRPr="00007642">
              <w:rPr>
                <w:rFonts w:ascii="Arial" w:eastAsia="Times New Roman" w:hAnsi="Arial" w:cs="Arial"/>
                <w:sz w:val="20"/>
                <w:szCs w:val="20"/>
                <w:lang w:eastAsia="cs-CZ"/>
              </w:rPr>
              <w:lastRenderedPageBreak/>
              <w:t>pěvková</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lastRenderedPageBreak/>
              <w:t>18.12.2018</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18725522.90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18725522.90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NaN.NaN.</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jc w:val="right"/>
              <w:rPr>
                <w:rFonts w:ascii="Arial" w:eastAsia="Times New Roman" w:hAnsi="Arial" w:cs="Arial"/>
                <w:sz w:val="20"/>
                <w:szCs w:val="20"/>
                <w:lang w:eastAsia="cs-CZ"/>
              </w:rPr>
            </w:pPr>
            <w:r w:rsidRPr="00007642">
              <w:rPr>
                <w:rFonts w:ascii="Arial" w:eastAsia="Times New Roman" w:hAnsi="Arial" w:cs="Arial"/>
                <w:sz w:val="20"/>
                <w:szCs w:val="20"/>
                <w:lang w:eastAsia="cs-CZ"/>
              </w:rPr>
              <w:t>0.00</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r w:rsidRPr="00007642">
              <w:rPr>
                <w:rFonts w:ascii="Arial" w:eastAsia="Times New Roman" w:hAnsi="Arial" w:cs="Arial"/>
                <w:sz w:val="20"/>
                <w:szCs w:val="20"/>
                <w:lang w:eastAsia="cs-CZ"/>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sz w:val="20"/>
                <w:szCs w:val="20"/>
                <w:lang w:eastAsia="cs-CZ"/>
              </w:rPr>
            </w:pPr>
          </w:p>
        </w:tc>
      </w:tr>
    </w:tbl>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Údaje k poskytnutým garancím ostatním</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9"/>
        <w:gridCol w:w="549"/>
        <w:gridCol w:w="548"/>
        <w:gridCol w:w="548"/>
        <w:gridCol w:w="625"/>
        <w:gridCol w:w="689"/>
        <w:gridCol w:w="689"/>
        <w:gridCol w:w="689"/>
        <w:gridCol w:w="575"/>
        <w:gridCol w:w="602"/>
        <w:gridCol w:w="602"/>
        <w:gridCol w:w="602"/>
        <w:gridCol w:w="625"/>
        <w:gridCol w:w="625"/>
        <w:gridCol w:w="539"/>
      </w:tblGrid>
      <w:tr w:rsidR="00007642" w:rsidRPr="00007642" w:rsidTr="00007642">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IČ účetní jednotky - věřitele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Název účetní jednotky - věřitele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IČ účetní jednotky - dlužníka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Název účetní jednotky - dlužníka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Datum poskytnutí garance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Hodnota zajištěné pohledávky: celkem</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Hodnota zajištěné pohledávky: jistina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Hodnota zajištěné pohledávky: úrok</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Datum plnění ručitelem v daném roce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Výše plnění ručitelem: celkem</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Výše plnění ručitelem: jistina</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Výše plnění ručitelem: úrok</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Celková výše plnění ručitelem od poskytnutí garance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Druh dluhového nástroje</w:t>
            </w:r>
          </w:p>
        </w:tc>
        <w:tc>
          <w:tcPr>
            <w:tcW w:w="0" w:type="auto"/>
            <w:tcBorders>
              <w:top w:val="single" w:sz="6" w:space="0" w:color="B0B0B0"/>
              <w:left w:val="single" w:sz="6" w:space="0" w:color="B0B0B0"/>
              <w:bottom w:val="single" w:sz="6" w:space="0" w:color="B0B0B0"/>
              <w:right w:val="single" w:sz="6" w:space="0" w:color="B0B0B0"/>
            </w:tcBorders>
            <w:shd w:val="clear" w:color="auto" w:fill="003366"/>
            <w:tcMar>
              <w:top w:w="45" w:type="dxa"/>
              <w:left w:w="105" w:type="dxa"/>
              <w:bottom w:w="30" w:type="dxa"/>
              <w:right w:w="105" w:type="dxa"/>
            </w:tcMar>
            <w:vAlign w:val="center"/>
            <w:hideMark/>
          </w:tcPr>
          <w:p w:rsidR="00007642" w:rsidRPr="00007642" w:rsidRDefault="00007642" w:rsidP="00007642">
            <w:pPr>
              <w:spacing w:after="0" w:line="240" w:lineRule="auto"/>
              <w:rPr>
                <w:rFonts w:ascii="Arial" w:eastAsia="Times New Roman" w:hAnsi="Arial" w:cs="Arial"/>
                <w:b/>
                <w:bCs/>
                <w:color w:val="FFFFFF"/>
                <w:sz w:val="20"/>
                <w:szCs w:val="20"/>
                <w:lang w:eastAsia="cs-CZ"/>
              </w:rPr>
            </w:pPr>
            <w:r w:rsidRPr="00007642">
              <w:rPr>
                <w:rFonts w:ascii="Arial" w:eastAsia="Times New Roman" w:hAnsi="Arial" w:cs="Arial"/>
                <w:b/>
                <w:bCs/>
                <w:color w:val="FFFFFF"/>
                <w:sz w:val="20"/>
                <w:szCs w:val="20"/>
                <w:lang w:eastAsia="cs-CZ"/>
              </w:rPr>
              <w:t>Předmět ručení</w:t>
            </w:r>
          </w:p>
        </w:tc>
      </w:tr>
    </w:tbl>
    <w:p w:rsidR="00007642" w:rsidRPr="00007642" w:rsidRDefault="00007642" w:rsidP="00007642">
      <w:pPr>
        <w:pBdr>
          <w:top w:val="single" w:sz="6" w:space="10" w:color="000000"/>
        </w:pBdr>
        <w:spacing w:before="720" w:after="100" w:afterAutospacing="1" w:line="240" w:lineRule="auto"/>
        <w:outlineLvl w:val="0"/>
        <w:rPr>
          <w:rFonts w:ascii="Arial" w:eastAsia="Times New Roman" w:hAnsi="Arial" w:cs="Arial"/>
          <w:b/>
          <w:bCs/>
          <w:color w:val="000000"/>
          <w:kern w:val="36"/>
          <w:sz w:val="48"/>
          <w:szCs w:val="48"/>
          <w:lang w:eastAsia="cs-CZ"/>
        </w:rPr>
      </w:pPr>
      <w:r w:rsidRPr="00007642">
        <w:rPr>
          <w:rFonts w:ascii="Arial" w:eastAsia="Times New Roman" w:hAnsi="Arial" w:cs="Arial"/>
          <w:b/>
          <w:bCs/>
          <w:color w:val="000000"/>
          <w:kern w:val="36"/>
          <w:sz w:val="48"/>
          <w:szCs w:val="48"/>
          <w:lang w:eastAsia="cs-CZ"/>
        </w:rPr>
        <w:t>Příloha</w:t>
      </w:r>
    </w:p>
    <w:p w:rsidR="00007642" w:rsidRPr="00007642" w:rsidRDefault="00007642" w:rsidP="00007642">
      <w:pPr>
        <w:spacing w:before="100" w:beforeAutospacing="1" w:after="100" w:afterAutospacing="1" w:line="240" w:lineRule="auto"/>
        <w:outlineLvl w:val="1"/>
        <w:rPr>
          <w:rFonts w:ascii="Arial" w:eastAsia="Times New Roman" w:hAnsi="Arial" w:cs="Arial"/>
          <w:b/>
          <w:bCs/>
          <w:color w:val="000000"/>
          <w:sz w:val="36"/>
          <w:szCs w:val="36"/>
          <w:lang w:eastAsia="cs-CZ"/>
        </w:rPr>
      </w:pPr>
      <w:r w:rsidRPr="00007642">
        <w:rPr>
          <w:rFonts w:ascii="Arial" w:eastAsia="Times New Roman" w:hAnsi="Arial" w:cs="Arial"/>
          <w:b/>
          <w:bCs/>
          <w:color w:val="000000"/>
          <w:sz w:val="36"/>
          <w:szCs w:val="36"/>
          <w:lang w:eastAsia="cs-CZ"/>
        </w:rPr>
        <w:t>ZÁKLADNÍ</w:t>
      </w:r>
    </w:p>
    <w:p w:rsidR="00007642" w:rsidRPr="00007642" w:rsidRDefault="00007642" w:rsidP="00007642">
      <w:pPr>
        <w:spacing w:before="120" w:after="120" w:line="240" w:lineRule="auto"/>
        <w:outlineLvl w:val="3"/>
        <w:rPr>
          <w:rFonts w:ascii="Arial" w:eastAsia="Times New Roman" w:hAnsi="Arial" w:cs="Arial"/>
          <w:b/>
          <w:bCs/>
          <w:color w:val="000000"/>
          <w:sz w:val="24"/>
          <w:szCs w:val="24"/>
          <w:lang w:eastAsia="cs-CZ"/>
        </w:rPr>
      </w:pPr>
      <w:r w:rsidRPr="00007642">
        <w:rPr>
          <w:rFonts w:ascii="Arial" w:eastAsia="Times New Roman" w:hAnsi="Arial" w:cs="Arial"/>
          <w:b/>
          <w:bCs/>
          <w:color w:val="000000"/>
          <w:sz w:val="24"/>
          <w:szCs w:val="24"/>
          <w:lang w:eastAsia="cs-CZ"/>
        </w:rPr>
        <w:t>IČ 70892156</w:t>
      </w:r>
      <w:r w:rsidRPr="00007642">
        <w:rPr>
          <w:rFonts w:ascii="Arial" w:eastAsia="Times New Roman" w:hAnsi="Arial" w:cs="Arial"/>
          <w:b/>
          <w:bCs/>
          <w:color w:val="000000"/>
          <w:sz w:val="24"/>
          <w:szCs w:val="24"/>
          <w:lang w:eastAsia="cs-CZ"/>
        </w:rPr>
        <w:br/>
        <w:t>sestavená k 30.9.2022</w:t>
      </w:r>
      <w:r w:rsidRPr="00007642">
        <w:rPr>
          <w:rFonts w:ascii="Arial" w:eastAsia="Times New Roman" w:hAnsi="Arial" w:cs="Arial"/>
          <w:b/>
          <w:bCs/>
          <w:color w:val="000000"/>
          <w:sz w:val="24"/>
          <w:szCs w:val="24"/>
          <w:lang w:eastAsia="cs-CZ"/>
        </w:rPr>
        <w:br/>
        <w:t>(v Kč s přesností na dvě desetinná místa)</w:t>
      </w:r>
    </w:p>
    <w:p w:rsidR="00007642" w:rsidRPr="00007642" w:rsidRDefault="00007642" w:rsidP="00007642">
      <w:pPr>
        <w:spacing w:before="100" w:beforeAutospacing="1" w:after="100" w:afterAutospacing="1" w:line="240" w:lineRule="auto"/>
        <w:outlineLvl w:val="2"/>
        <w:rPr>
          <w:rFonts w:ascii="Arial" w:eastAsia="Times New Roman" w:hAnsi="Arial" w:cs="Arial"/>
          <w:b/>
          <w:bCs/>
          <w:color w:val="000000"/>
          <w:sz w:val="27"/>
          <w:szCs w:val="27"/>
          <w:lang w:eastAsia="cs-CZ"/>
        </w:rPr>
      </w:pPr>
      <w:r w:rsidRPr="00007642">
        <w:rPr>
          <w:rFonts w:ascii="Arial" w:eastAsia="Times New Roman" w:hAnsi="Arial" w:cs="Arial"/>
          <w:b/>
          <w:bCs/>
          <w:color w:val="000000"/>
          <w:sz w:val="27"/>
          <w:szCs w:val="27"/>
          <w:lang w:eastAsia="cs-CZ"/>
        </w:rPr>
        <w:t>Informace o projektech partnerství veřejného a soukromého sektoru</w:t>
      </w:r>
    </w:p>
    <w:p w:rsidR="00133B7D" w:rsidRDefault="00133B7D"/>
    <w:p w:rsidR="00E7556E" w:rsidRDefault="00E7556E"/>
    <w:p w:rsidR="00E7556E" w:rsidRDefault="00E7556E"/>
    <w:p w:rsidR="00E7556E" w:rsidRDefault="00E7556E"/>
    <w:p w:rsidR="00E7556E" w:rsidRDefault="00E7556E"/>
    <w:p w:rsidR="00E7556E" w:rsidRDefault="00E7556E"/>
    <w:p w:rsidR="00E7556E" w:rsidRDefault="00E7556E" w:rsidP="00E7556E">
      <w:r>
        <w:t>Razítko účetní jednotky:</w:t>
      </w:r>
      <w:r>
        <w:tab/>
      </w:r>
      <w:r>
        <w:tab/>
      </w:r>
      <w:r>
        <w:tab/>
        <w:t>Podpis vedoucího účetní jednotky: Ing. Jan Schiller</w:t>
      </w:r>
    </w:p>
    <w:p w:rsidR="00E7556E" w:rsidRDefault="00E7556E">
      <w:bookmarkStart w:id="0" w:name="_GoBack"/>
      <w:bookmarkEnd w:id="0"/>
    </w:p>
    <w:sectPr w:rsidR="00E75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42"/>
    <w:rsid w:val="00007642"/>
    <w:rsid w:val="00133B7D"/>
    <w:rsid w:val="00E75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8F6BE-9B83-4C93-943A-C19CCA80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07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0764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0764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00764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764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0764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0764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07642"/>
    <w:rPr>
      <w:rFonts w:ascii="Times New Roman" w:eastAsia="Times New Roman" w:hAnsi="Times New Roman" w:cs="Times New Roman"/>
      <w:b/>
      <w:bCs/>
      <w:sz w:val="24"/>
      <w:szCs w:val="24"/>
      <w:lang w:eastAsia="cs-CZ"/>
    </w:rPr>
  </w:style>
  <w:style w:type="paragraph" w:customStyle="1" w:styleId="msonormal0">
    <w:name w:val="msonormal"/>
    <w:basedOn w:val="Normln"/>
    <w:rsid w:val="0000764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935007">
      <w:bodyDiv w:val="1"/>
      <w:marLeft w:val="0"/>
      <w:marRight w:val="0"/>
      <w:marTop w:val="0"/>
      <w:marBottom w:val="0"/>
      <w:divBdr>
        <w:top w:val="none" w:sz="0" w:space="0" w:color="auto"/>
        <w:left w:val="none" w:sz="0" w:space="0" w:color="auto"/>
        <w:bottom w:val="none" w:sz="0" w:space="0" w:color="auto"/>
        <w:right w:val="none" w:sz="0" w:space="0" w:color="auto"/>
      </w:divBdr>
      <w:divsChild>
        <w:div w:id="1752193128">
          <w:marLeft w:val="0"/>
          <w:marRight w:val="0"/>
          <w:marTop w:val="0"/>
          <w:marBottom w:val="0"/>
          <w:divBdr>
            <w:top w:val="none" w:sz="0" w:space="0" w:color="auto"/>
            <w:left w:val="none" w:sz="0" w:space="0" w:color="auto"/>
            <w:bottom w:val="none" w:sz="0" w:space="0" w:color="auto"/>
            <w:right w:val="none" w:sz="0" w:space="0" w:color="auto"/>
          </w:divBdr>
        </w:div>
        <w:div w:id="269746785">
          <w:marLeft w:val="0"/>
          <w:marRight w:val="0"/>
          <w:marTop w:val="0"/>
          <w:marBottom w:val="0"/>
          <w:divBdr>
            <w:top w:val="none" w:sz="0" w:space="0" w:color="auto"/>
            <w:left w:val="none" w:sz="0" w:space="0" w:color="auto"/>
            <w:bottom w:val="none" w:sz="0" w:space="0" w:color="auto"/>
            <w:right w:val="none" w:sz="0" w:space="0" w:color="auto"/>
          </w:divBdr>
        </w:div>
        <w:div w:id="343674405">
          <w:marLeft w:val="0"/>
          <w:marRight w:val="0"/>
          <w:marTop w:val="0"/>
          <w:marBottom w:val="0"/>
          <w:divBdr>
            <w:top w:val="none" w:sz="0" w:space="0" w:color="auto"/>
            <w:left w:val="none" w:sz="0" w:space="0" w:color="auto"/>
            <w:bottom w:val="none" w:sz="0" w:space="0" w:color="auto"/>
            <w:right w:val="none" w:sz="0" w:space="0" w:color="auto"/>
          </w:divBdr>
        </w:div>
        <w:div w:id="1441677823">
          <w:marLeft w:val="0"/>
          <w:marRight w:val="0"/>
          <w:marTop w:val="0"/>
          <w:marBottom w:val="0"/>
          <w:divBdr>
            <w:top w:val="none" w:sz="0" w:space="0" w:color="auto"/>
            <w:left w:val="none" w:sz="0" w:space="0" w:color="auto"/>
            <w:bottom w:val="none" w:sz="0" w:space="0" w:color="auto"/>
            <w:right w:val="none" w:sz="0" w:space="0" w:color="auto"/>
          </w:divBdr>
        </w:div>
        <w:div w:id="1800488981">
          <w:marLeft w:val="0"/>
          <w:marRight w:val="0"/>
          <w:marTop w:val="0"/>
          <w:marBottom w:val="0"/>
          <w:divBdr>
            <w:top w:val="none" w:sz="0" w:space="0" w:color="auto"/>
            <w:left w:val="none" w:sz="0" w:space="0" w:color="auto"/>
            <w:bottom w:val="none" w:sz="0" w:space="0" w:color="auto"/>
            <w:right w:val="none" w:sz="0" w:space="0" w:color="auto"/>
          </w:divBdr>
        </w:div>
        <w:div w:id="843320714">
          <w:marLeft w:val="0"/>
          <w:marRight w:val="0"/>
          <w:marTop w:val="0"/>
          <w:marBottom w:val="0"/>
          <w:divBdr>
            <w:top w:val="none" w:sz="0" w:space="0" w:color="auto"/>
            <w:left w:val="none" w:sz="0" w:space="0" w:color="auto"/>
            <w:bottom w:val="none" w:sz="0" w:space="0" w:color="auto"/>
            <w:right w:val="none" w:sz="0" w:space="0" w:color="auto"/>
          </w:divBdr>
        </w:div>
        <w:div w:id="1427460144">
          <w:marLeft w:val="0"/>
          <w:marRight w:val="0"/>
          <w:marTop w:val="0"/>
          <w:marBottom w:val="0"/>
          <w:divBdr>
            <w:top w:val="none" w:sz="0" w:space="0" w:color="auto"/>
            <w:left w:val="none" w:sz="0" w:space="0" w:color="auto"/>
            <w:bottom w:val="none" w:sz="0" w:space="0" w:color="auto"/>
            <w:right w:val="none" w:sz="0" w:space="0" w:color="auto"/>
          </w:divBdr>
        </w:div>
        <w:div w:id="1433863168">
          <w:marLeft w:val="0"/>
          <w:marRight w:val="0"/>
          <w:marTop w:val="0"/>
          <w:marBottom w:val="0"/>
          <w:divBdr>
            <w:top w:val="none" w:sz="0" w:space="0" w:color="auto"/>
            <w:left w:val="none" w:sz="0" w:space="0" w:color="auto"/>
            <w:bottom w:val="none" w:sz="0" w:space="0" w:color="auto"/>
            <w:right w:val="none" w:sz="0" w:space="0" w:color="auto"/>
          </w:divBdr>
        </w:div>
        <w:div w:id="1535341522">
          <w:marLeft w:val="0"/>
          <w:marRight w:val="0"/>
          <w:marTop w:val="0"/>
          <w:marBottom w:val="0"/>
          <w:divBdr>
            <w:top w:val="none" w:sz="0" w:space="0" w:color="auto"/>
            <w:left w:val="none" w:sz="0" w:space="0" w:color="auto"/>
            <w:bottom w:val="none" w:sz="0" w:space="0" w:color="auto"/>
            <w:right w:val="none" w:sz="0" w:space="0" w:color="auto"/>
          </w:divBdr>
        </w:div>
        <w:div w:id="365644756">
          <w:marLeft w:val="0"/>
          <w:marRight w:val="0"/>
          <w:marTop w:val="0"/>
          <w:marBottom w:val="0"/>
          <w:divBdr>
            <w:top w:val="none" w:sz="0" w:space="0" w:color="auto"/>
            <w:left w:val="none" w:sz="0" w:space="0" w:color="auto"/>
            <w:bottom w:val="none" w:sz="0" w:space="0" w:color="auto"/>
            <w:right w:val="none" w:sz="0" w:space="0" w:color="auto"/>
          </w:divBdr>
        </w:div>
        <w:div w:id="1725173168">
          <w:marLeft w:val="0"/>
          <w:marRight w:val="0"/>
          <w:marTop w:val="0"/>
          <w:marBottom w:val="0"/>
          <w:divBdr>
            <w:top w:val="none" w:sz="0" w:space="0" w:color="auto"/>
            <w:left w:val="none" w:sz="0" w:space="0" w:color="auto"/>
            <w:bottom w:val="none" w:sz="0" w:space="0" w:color="auto"/>
            <w:right w:val="none" w:sz="0" w:space="0" w:color="auto"/>
          </w:divBdr>
        </w:div>
        <w:div w:id="1202674393">
          <w:marLeft w:val="0"/>
          <w:marRight w:val="0"/>
          <w:marTop w:val="0"/>
          <w:marBottom w:val="0"/>
          <w:divBdr>
            <w:top w:val="none" w:sz="0" w:space="0" w:color="auto"/>
            <w:left w:val="none" w:sz="0" w:space="0" w:color="auto"/>
            <w:bottom w:val="none" w:sz="0" w:space="0" w:color="auto"/>
            <w:right w:val="none" w:sz="0" w:space="0" w:color="auto"/>
          </w:divBdr>
        </w:div>
        <w:div w:id="2029289082">
          <w:marLeft w:val="0"/>
          <w:marRight w:val="0"/>
          <w:marTop w:val="0"/>
          <w:marBottom w:val="0"/>
          <w:divBdr>
            <w:top w:val="none" w:sz="0" w:space="0" w:color="auto"/>
            <w:left w:val="none" w:sz="0" w:space="0" w:color="auto"/>
            <w:bottom w:val="none" w:sz="0" w:space="0" w:color="auto"/>
            <w:right w:val="none" w:sz="0" w:space="0" w:color="auto"/>
          </w:divBdr>
        </w:div>
        <w:div w:id="1535969963">
          <w:marLeft w:val="0"/>
          <w:marRight w:val="0"/>
          <w:marTop w:val="0"/>
          <w:marBottom w:val="0"/>
          <w:divBdr>
            <w:top w:val="none" w:sz="0" w:space="0" w:color="auto"/>
            <w:left w:val="none" w:sz="0" w:space="0" w:color="auto"/>
            <w:bottom w:val="none" w:sz="0" w:space="0" w:color="auto"/>
            <w:right w:val="none" w:sz="0" w:space="0" w:color="auto"/>
          </w:divBdr>
        </w:div>
        <w:div w:id="66178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2532</Words>
  <Characters>14940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Houska Viktor</dc:creator>
  <cp:keywords/>
  <dc:description/>
  <cp:lastModifiedBy>Síbová Marcela</cp:lastModifiedBy>
  <cp:revision>2</cp:revision>
  <dcterms:created xsi:type="dcterms:W3CDTF">2022-11-10T14:08:00Z</dcterms:created>
  <dcterms:modified xsi:type="dcterms:W3CDTF">2022-11-10T14:10:00Z</dcterms:modified>
</cp:coreProperties>
</file>