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B14" w:rsidRPr="00473C9F" w:rsidRDefault="00F15B14" w:rsidP="00024C1F">
      <w:pPr>
        <w:rPr>
          <w:b/>
          <w:i/>
          <w:sz w:val="44"/>
          <w:szCs w:val="44"/>
        </w:rPr>
      </w:pPr>
      <w:r w:rsidRPr="002368FF">
        <w:rPr>
          <w:rFonts w:ascii="Arial Black" w:hAnsi="Arial Black"/>
          <w:sz w:val="28"/>
          <w:szCs w:val="28"/>
          <w:bdr w:val="single" w:sz="4" w:space="0" w:color="auto"/>
          <w:shd w:val="clear" w:color="auto" w:fill="DDD9C3" w:themeFill="background2" w:themeFillShade="E6"/>
        </w:rPr>
        <w:t xml:space="preserve">Odborné sociální poradenství - </w:t>
      </w:r>
      <w:r w:rsidRPr="002368FF">
        <w:rPr>
          <w:rFonts w:ascii="Arial Black" w:hAnsi="Arial Black"/>
          <w:b/>
          <w:i/>
          <w:color w:val="FF0000"/>
          <w:sz w:val="28"/>
          <w:szCs w:val="28"/>
          <w:bdr w:val="single" w:sz="4" w:space="0" w:color="auto"/>
          <w:shd w:val="clear" w:color="auto" w:fill="DDD9C3" w:themeFill="background2" w:themeFillShade="E6"/>
        </w:rPr>
        <w:t>„</w:t>
      </w:r>
      <w:proofErr w:type="spellStart"/>
      <w:r w:rsidRPr="002368FF">
        <w:rPr>
          <w:rFonts w:ascii="Arial Black" w:hAnsi="Arial Black"/>
          <w:b/>
          <w:i/>
          <w:color w:val="FF0000"/>
          <w:sz w:val="28"/>
          <w:szCs w:val="28"/>
          <w:bdr w:val="single" w:sz="4" w:space="0" w:color="auto"/>
          <w:shd w:val="clear" w:color="auto" w:fill="DDD9C3" w:themeFill="background2" w:themeFillShade="E6"/>
        </w:rPr>
        <w:t>paragrafík</w:t>
      </w:r>
      <w:proofErr w:type="spellEnd"/>
      <w:r w:rsidRPr="002368FF">
        <w:rPr>
          <w:rFonts w:ascii="Arial Black" w:hAnsi="Arial Black"/>
          <w:b/>
          <w:color w:val="FF6600"/>
          <w:sz w:val="28"/>
          <w:szCs w:val="28"/>
          <w:bdr w:val="single" w:sz="4" w:space="0" w:color="auto"/>
          <w:shd w:val="clear" w:color="auto" w:fill="DDD9C3" w:themeFill="background2" w:themeFillShade="E6"/>
        </w:rPr>
        <w:t>“</w:t>
      </w:r>
      <w:r w:rsidRPr="00473C9F">
        <w:rPr>
          <w:rFonts w:ascii="Forte" w:hAnsi="Forte"/>
          <w:b/>
          <w:sz w:val="40"/>
          <w:szCs w:val="40"/>
        </w:rPr>
        <w:t xml:space="preserve">                                                                                     </w:t>
      </w:r>
      <w:r w:rsidRPr="00473C9F">
        <w:rPr>
          <w:b/>
          <w:i/>
          <w:sz w:val="44"/>
          <w:szCs w:val="44"/>
        </w:rPr>
        <w:t xml:space="preserve">      </w:t>
      </w:r>
    </w:p>
    <w:p w:rsidR="00F15B14" w:rsidRDefault="00F15B14" w:rsidP="00F15B14"/>
    <w:p w:rsidR="00887767" w:rsidRPr="003E429B" w:rsidRDefault="00887767" w:rsidP="00887767">
      <w:pPr>
        <w:numPr>
          <w:ilvl w:val="0"/>
          <w:numId w:val="1"/>
        </w:numPr>
        <w:rPr>
          <w:color w:val="FF0000"/>
          <w:sz w:val="22"/>
          <w:szCs w:val="22"/>
        </w:rPr>
      </w:pPr>
      <w:r w:rsidRPr="003E429B">
        <w:rPr>
          <w:b/>
          <w:color w:val="FF0000"/>
          <w:sz w:val="28"/>
          <w:szCs w:val="28"/>
        </w:rPr>
        <w:t>Zvýšení částky živobytí z důvodu dietního stravování</w:t>
      </w:r>
      <w:r w:rsidR="00F15B14" w:rsidRPr="003E429B">
        <w:rPr>
          <w:b/>
          <w:color w:val="FF0000"/>
          <w:sz w:val="28"/>
          <w:szCs w:val="28"/>
        </w:rPr>
        <w:t xml:space="preserve"> </w:t>
      </w:r>
    </w:p>
    <w:p w:rsidR="004B2DB1" w:rsidRPr="003E429B" w:rsidRDefault="003E429B" w:rsidP="003E429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887767" w:rsidRPr="003E429B">
        <w:rPr>
          <w:rFonts w:asciiTheme="minorHAnsi" w:hAnsiTheme="minorHAnsi" w:cstheme="minorHAnsi"/>
          <w:sz w:val="22"/>
          <w:szCs w:val="22"/>
        </w:rPr>
        <w:t>Léčba dlouhodobých onemocnění, chronických stavů i akutních zdravotních událostí není jednoduchou záležitostí. Vyžaduje velkou trpělivost nemocných, odhodlání, často i ústup od běžných zvyklostí životního stylu, omezení v pohybu i omezení ve stravovacích návycích a jiné nepříjemné opatření, které pacient vzhledem k léčbě nemoci by měl plně akceptovat.</w:t>
      </w:r>
      <w:r w:rsidR="004B2DB1" w:rsidRPr="003E429B">
        <w:rPr>
          <w:rFonts w:asciiTheme="minorHAnsi" w:hAnsiTheme="minorHAnsi" w:cstheme="minorHAnsi"/>
          <w:sz w:val="22"/>
          <w:szCs w:val="22"/>
        </w:rPr>
        <w:t xml:space="preserve"> </w:t>
      </w:r>
      <w:r w:rsidR="00887767" w:rsidRPr="003E429B">
        <w:rPr>
          <w:rFonts w:asciiTheme="minorHAnsi" w:hAnsiTheme="minorHAnsi" w:cstheme="minorHAnsi"/>
          <w:sz w:val="22"/>
          <w:szCs w:val="22"/>
        </w:rPr>
        <w:t>Může přijít situace, kdy odborný lékař vzhledem k nemoci a její prognóze doporučí a předepíše dietu, tedy dietní režim stravování.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87767" w:rsidRPr="003E429B">
        <w:rPr>
          <w:rFonts w:asciiTheme="minorHAnsi" w:hAnsiTheme="minorHAnsi" w:cstheme="minorHAnsi"/>
          <w:sz w:val="22"/>
          <w:szCs w:val="22"/>
        </w:rPr>
        <w:t>Dietní potravinové produkty však proti běžným surovinám jsou dražší a cenově náročnější.Pokud pacient a rodina mají dostatek financí</w:t>
      </w:r>
      <w:r w:rsidR="0099757C" w:rsidRPr="003E429B">
        <w:rPr>
          <w:rFonts w:asciiTheme="minorHAnsi" w:hAnsiTheme="minorHAnsi" w:cstheme="minorHAnsi"/>
          <w:sz w:val="22"/>
          <w:szCs w:val="22"/>
        </w:rPr>
        <w:t xml:space="preserve"> není přechod na dietní stravování v domácnosti zvlášť velkou zátěží rozpočtu.Bohužel velká </w:t>
      </w:r>
      <w:r w:rsidR="0099757C" w:rsidRPr="003E429B">
        <w:rPr>
          <w:rFonts w:asciiTheme="minorHAnsi" w:hAnsiTheme="minorHAnsi" w:cstheme="minorHAnsi"/>
          <w:sz w:val="22"/>
          <w:szCs w:val="22"/>
          <w:u w:val="single"/>
        </w:rPr>
        <w:t>část občanů, zejména seniorské populace i zdravotně postiženích občanů</w:t>
      </w:r>
      <w:r w:rsidR="0099757C" w:rsidRPr="003E429B">
        <w:rPr>
          <w:rFonts w:asciiTheme="minorHAnsi" w:hAnsiTheme="minorHAnsi" w:cstheme="minorHAnsi"/>
          <w:sz w:val="22"/>
          <w:szCs w:val="22"/>
        </w:rPr>
        <w:t xml:space="preserve"> nemá takové příjmy, aby bez větších problémů mohla doporučení odborných lékařů k dietnímu stravování plně akceptovat.Vzniká tak riziko, že nemoc, či zdravotní stav se zhorší a může i dojít k ohrožení života.V této situaci může významně pomoci zvláštní dávka Úřadu práce: </w:t>
      </w:r>
      <w:r w:rsidR="0099757C" w:rsidRPr="003E429B">
        <w:rPr>
          <w:rFonts w:asciiTheme="minorHAnsi" w:hAnsiTheme="minorHAnsi" w:cstheme="minorHAnsi"/>
          <w:b/>
          <w:i/>
          <w:sz w:val="22"/>
          <w:szCs w:val="22"/>
        </w:rPr>
        <w:t>Zvýšení částky živobytí z důvodu dietního stravování</w:t>
      </w:r>
      <w:r w:rsidR="0099757C" w:rsidRPr="003E429B">
        <w:rPr>
          <w:rFonts w:asciiTheme="minorHAnsi" w:hAnsiTheme="minorHAnsi" w:cstheme="minorHAnsi"/>
          <w:sz w:val="22"/>
          <w:szCs w:val="22"/>
        </w:rPr>
        <w:t>.</w:t>
      </w:r>
      <w:r w:rsidR="0029023C" w:rsidRPr="003E429B">
        <w:rPr>
          <w:rFonts w:asciiTheme="minorHAnsi" w:hAnsiTheme="minorHAnsi" w:cstheme="minorHAnsi"/>
          <w:sz w:val="22"/>
          <w:szCs w:val="22"/>
        </w:rPr>
        <w:t xml:space="preserve"> Především je však nutné sdělit, že se jedná pouze o osoby, </w:t>
      </w:r>
      <w:r w:rsidR="0029023C" w:rsidRPr="003E429B">
        <w:rPr>
          <w:rFonts w:asciiTheme="minorHAnsi" w:hAnsiTheme="minorHAnsi" w:cstheme="minorHAnsi"/>
          <w:b/>
          <w:i/>
          <w:sz w:val="22"/>
          <w:szCs w:val="22"/>
        </w:rPr>
        <w:t>které se nacházejí v hmotné nouzi</w:t>
      </w:r>
      <w:r w:rsidR="0029023C" w:rsidRPr="003E429B">
        <w:rPr>
          <w:rFonts w:asciiTheme="minorHAnsi" w:hAnsiTheme="minorHAnsi" w:cstheme="minorHAnsi"/>
          <w:sz w:val="22"/>
          <w:szCs w:val="22"/>
        </w:rPr>
        <w:t>, jsou registrovány</w:t>
      </w:r>
      <w:r w:rsidR="001714B5" w:rsidRPr="003E429B">
        <w:rPr>
          <w:rFonts w:asciiTheme="minorHAnsi" w:hAnsiTheme="minorHAnsi" w:cstheme="minorHAnsi"/>
          <w:sz w:val="22"/>
          <w:szCs w:val="22"/>
        </w:rPr>
        <w:t xml:space="preserve"> v systému hmotné nouze(HN)</w:t>
      </w:r>
      <w:r w:rsidR="0029023C" w:rsidRPr="003E429B">
        <w:rPr>
          <w:rFonts w:asciiTheme="minorHAnsi" w:hAnsiTheme="minorHAnsi" w:cstheme="minorHAnsi"/>
          <w:sz w:val="22"/>
          <w:szCs w:val="22"/>
        </w:rPr>
        <w:t xml:space="preserve"> a mají přiznanou některou dávku  </w:t>
      </w:r>
      <w:r w:rsidR="001714B5" w:rsidRPr="003E429B">
        <w:rPr>
          <w:rFonts w:asciiTheme="minorHAnsi" w:hAnsiTheme="minorHAnsi" w:cstheme="minorHAnsi"/>
          <w:sz w:val="22"/>
          <w:szCs w:val="22"/>
        </w:rPr>
        <w:t>HN</w:t>
      </w:r>
      <w:r w:rsidR="0029023C" w:rsidRPr="003E429B">
        <w:rPr>
          <w:rFonts w:asciiTheme="minorHAnsi" w:hAnsiTheme="minorHAnsi" w:cstheme="minorHAnsi"/>
          <w:sz w:val="22"/>
          <w:szCs w:val="22"/>
        </w:rPr>
        <w:t>.</w:t>
      </w:r>
      <w:r w:rsidR="001714B5" w:rsidRPr="003E429B">
        <w:rPr>
          <w:rFonts w:asciiTheme="minorHAnsi" w:hAnsiTheme="minorHAnsi" w:cstheme="minorHAnsi"/>
          <w:sz w:val="22"/>
          <w:szCs w:val="22"/>
        </w:rPr>
        <w:t xml:space="preserve"> Tyto osoby, které splňují výše uvedenou podmínku mají nárok a může jim být </w:t>
      </w:r>
      <w:r w:rsidR="0029023C" w:rsidRPr="003E429B">
        <w:rPr>
          <w:rFonts w:asciiTheme="minorHAnsi" w:hAnsiTheme="minorHAnsi" w:cstheme="minorHAnsi"/>
          <w:sz w:val="22"/>
          <w:szCs w:val="22"/>
        </w:rPr>
        <w:t>přizn</w:t>
      </w:r>
      <w:r w:rsidR="001714B5" w:rsidRPr="003E429B">
        <w:rPr>
          <w:rFonts w:asciiTheme="minorHAnsi" w:hAnsiTheme="minorHAnsi" w:cstheme="minorHAnsi"/>
          <w:sz w:val="22"/>
          <w:szCs w:val="22"/>
        </w:rPr>
        <w:t>ána</w:t>
      </w:r>
      <w:r w:rsidR="0029023C" w:rsidRPr="003E429B">
        <w:rPr>
          <w:rFonts w:asciiTheme="minorHAnsi" w:hAnsiTheme="minorHAnsi" w:cstheme="minorHAnsi"/>
          <w:sz w:val="22"/>
          <w:szCs w:val="22"/>
        </w:rPr>
        <w:t xml:space="preserve"> zvláštní finanční dávku k zajištění nákupů dietních produktů, surovin a potravin.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601C9" w:rsidRPr="003E429B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29023C" w:rsidRPr="003E429B">
        <w:rPr>
          <w:rFonts w:asciiTheme="minorHAnsi" w:hAnsiTheme="minorHAnsi" w:cstheme="minorHAnsi"/>
          <w:sz w:val="22"/>
          <w:szCs w:val="22"/>
        </w:rPr>
        <w:t>Zvýšení částky živobytí z důvodu dietního stravování je stanoveno v §</w:t>
      </w:r>
      <w:r w:rsidR="001714B5" w:rsidRPr="003E429B">
        <w:rPr>
          <w:rFonts w:asciiTheme="minorHAnsi" w:hAnsiTheme="minorHAnsi" w:cstheme="minorHAnsi"/>
          <w:sz w:val="22"/>
          <w:szCs w:val="22"/>
        </w:rPr>
        <w:t xml:space="preserve"> </w:t>
      </w:r>
      <w:r w:rsidR="0029023C" w:rsidRPr="003E429B">
        <w:rPr>
          <w:rFonts w:asciiTheme="minorHAnsi" w:hAnsiTheme="minorHAnsi" w:cstheme="minorHAnsi"/>
          <w:sz w:val="22"/>
          <w:szCs w:val="22"/>
        </w:rPr>
        <w:t>29</w:t>
      </w:r>
      <w:r w:rsidR="001714B5" w:rsidRPr="003E429B">
        <w:rPr>
          <w:rFonts w:asciiTheme="minorHAnsi" w:hAnsiTheme="minorHAnsi" w:cstheme="minorHAnsi"/>
          <w:sz w:val="22"/>
          <w:szCs w:val="22"/>
        </w:rPr>
        <w:t>,</w:t>
      </w:r>
      <w:r w:rsidR="0029023C" w:rsidRPr="003E429B">
        <w:rPr>
          <w:rFonts w:asciiTheme="minorHAnsi" w:hAnsiTheme="minorHAnsi" w:cstheme="minorHAnsi"/>
          <w:sz w:val="22"/>
          <w:szCs w:val="22"/>
        </w:rPr>
        <w:t xml:space="preserve"> zákona č.111/2006 Sb.,o pomoci v hmotné nouzi., a dávky jsou přesně vyjmenovány</w:t>
      </w:r>
      <w:r w:rsidR="001714B5" w:rsidRPr="003E429B">
        <w:rPr>
          <w:rFonts w:asciiTheme="minorHAnsi" w:hAnsiTheme="minorHAnsi" w:cstheme="minorHAnsi"/>
          <w:sz w:val="22"/>
          <w:szCs w:val="22"/>
        </w:rPr>
        <w:t xml:space="preserve"> v § 1, vyhlášky č.389/2011 Sb., ve znění pozdějších předpisů</w:t>
      </w:r>
      <w:r w:rsidR="0029023C" w:rsidRPr="003E429B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714B5" w:rsidRPr="003E429B">
        <w:rPr>
          <w:rFonts w:asciiTheme="minorHAnsi" w:hAnsiTheme="minorHAnsi" w:cstheme="minorHAnsi"/>
          <w:sz w:val="22"/>
          <w:szCs w:val="22"/>
        </w:rPr>
        <w:t xml:space="preserve">Upozorňujeme však na velmi důležitou skutečnost, že je nutné při žádosti o tuto dávku </w:t>
      </w:r>
      <w:r w:rsidR="001714B5" w:rsidRPr="003E429B">
        <w:rPr>
          <w:rFonts w:asciiTheme="minorHAnsi" w:hAnsiTheme="minorHAnsi" w:cstheme="minorHAnsi"/>
          <w:b/>
          <w:i/>
          <w:sz w:val="22"/>
          <w:szCs w:val="22"/>
        </w:rPr>
        <w:t>předložit odbornou lékařskou zprávu, kde nutnost příslušné diety je jasně indikována.</w:t>
      </w:r>
      <w:r w:rsidR="00374E54" w:rsidRPr="003E429B">
        <w:rPr>
          <w:rFonts w:asciiTheme="minorHAnsi" w:hAnsiTheme="minorHAnsi" w:cstheme="minorHAnsi"/>
          <w:sz w:val="22"/>
          <w:szCs w:val="22"/>
        </w:rPr>
        <w:t>“</w:t>
      </w:r>
      <w:r w:rsidR="00374E54" w:rsidRPr="003E429B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Osoba se nachází v hmotné nouzi, není-li dále stanoveno jinak, jestliže její příjem a příjem společně posuzovaných osob </w:t>
      </w:r>
      <w:r w:rsidR="00374E54" w:rsidRPr="003E429B">
        <w:rPr>
          <w:rStyle w:val="PromnnHTML"/>
          <w:rFonts w:asciiTheme="minorHAnsi" w:hAnsiTheme="minorHAnsi" w:cstheme="minorHAnsi"/>
          <w:b w:val="0"/>
          <w:i/>
          <w:color w:val="000000"/>
          <w:sz w:val="22"/>
          <w:szCs w:val="22"/>
        </w:rPr>
        <w:t>a)</w:t>
      </w:r>
      <w:r w:rsidR="00374E54" w:rsidRPr="003E429B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po odečtení přiměřených nákladů na bydlení (§ 9 odst. 2) nedosahuje částky živobytí (§ 24), nebo </w:t>
      </w:r>
      <w:r w:rsidR="00374E54" w:rsidRPr="003E429B">
        <w:rPr>
          <w:rStyle w:val="PromnnHTML"/>
          <w:rFonts w:asciiTheme="minorHAnsi" w:hAnsiTheme="minorHAnsi" w:cstheme="minorHAnsi"/>
          <w:b w:val="0"/>
          <w:i/>
          <w:color w:val="000000"/>
          <w:sz w:val="22"/>
          <w:szCs w:val="22"/>
        </w:rPr>
        <w:t>b)</w:t>
      </w:r>
      <w:r w:rsidR="00374E54" w:rsidRPr="003E429B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dosahuje sám nebo spolu s příspěvkem na živobytí podle § 4 odst. 1 písm. a) částek živobytí, ale nepostačuje k zabezpečení odůvodněných nákladů na bydlení (§ 34) a služeb s bydlením bezprostředně spojených..,přičemž si nemůže tento příjem zvýšit vzhledem ke svému věku, zdravotnímu stavu nebo z jiných vážných důvodů vlastním přičiněním a zabezpečení jejích základních životních podmínek je tak vážně ohroženo.  Osoba se považuje za osobu v hmotné nouzi též, jestliže nesplňuje podmínky uvedené v odstavci 2, avšak s přihlédnutím k jejím příjmům, celkovým sociálním a majetkovým poměrům jí hrozí vážná újma na zdraví “(odst.2,3, § 2 zákona č.111/2006 Sb.,.).</w:t>
      </w:r>
      <w:bookmarkStart w:id="0" w:name="_GoBack"/>
      <w:bookmarkEnd w:id="0"/>
      <w:r w:rsidR="004B2DB1" w:rsidRPr="003E429B">
        <w:rPr>
          <w:rFonts w:asciiTheme="minorHAnsi" w:hAnsiTheme="minorHAnsi" w:cstheme="minorHAnsi"/>
          <w:b/>
        </w:rPr>
        <w:t xml:space="preserve">      </w:t>
      </w:r>
    </w:p>
    <w:tbl>
      <w:tblPr>
        <w:tblW w:w="9924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2819"/>
        <w:gridCol w:w="146"/>
        <w:gridCol w:w="146"/>
        <w:gridCol w:w="201"/>
        <w:gridCol w:w="2157"/>
        <w:gridCol w:w="4107"/>
        <w:gridCol w:w="146"/>
        <w:gridCol w:w="202"/>
      </w:tblGrid>
      <w:tr w:rsidR="004B2DB1" w:rsidRPr="003E429B" w:rsidTr="007857E6">
        <w:trPr>
          <w:trHeight w:val="300"/>
        </w:trPr>
        <w:tc>
          <w:tcPr>
            <w:tcW w:w="9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B1" w:rsidRPr="003E429B" w:rsidRDefault="004B2DB1" w:rsidP="007857E6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E429B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Zvýšení částky </w:t>
            </w:r>
            <w:proofErr w:type="spellStart"/>
            <w:r w:rsidRPr="003E429B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živobyti</w:t>
            </w:r>
            <w:proofErr w:type="spellEnd"/>
            <w:r w:rsidRPr="003E429B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z důvodu dietního stravování </w:t>
            </w:r>
            <w:r w:rsidR="007857E6" w:rsidRPr="003E429B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        </w:t>
            </w:r>
            <w:r w:rsidRPr="003E429B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(§ 1, vyhláška č.389/2011 Sb.,</w:t>
            </w:r>
            <w:r w:rsidR="007857E6" w:rsidRPr="003E429B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v aktuálním znění</w:t>
            </w:r>
            <w:r w:rsidRPr="003E429B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.)</w:t>
            </w:r>
          </w:p>
        </w:tc>
      </w:tr>
      <w:tr w:rsidR="004B2DB1" w:rsidRPr="003E429B" w:rsidTr="007857E6">
        <w:trPr>
          <w:trHeight w:val="375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i/>
                <w:iCs/>
                <w:color w:val="000000"/>
                <w:u w:val="single"/>
              </w:rPr>
            </w:pPr>
            <w:r w:rsidRPr="003E429B">
              <w:rPr>
                <w:rFonts w:asciiTheme="minorHAnsi" w:hAnsiTheme="minorHAnsi" w:cstheme="minorHAnsi"/>
                <w:i/>
                <w:iCs/>
                <w:color w:val="000000"/>
                <w:u w:val="single"/>
              </w:rPr>
              <w:t>Dieta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i/>
                <w:iCs/>
                <w:color w:val="000000"/>
                <w:u w:val="single"/>
              </w:rPr>
            </w:pPr>
            <w:r w:rsidRPr="003E429B">
              <w:rPr>
                <w:rFonts w:asciiTheme="minorHAnsi" w:hAnsiTheme="minorHAnsi" w:cstheme="minorHAnsi"/>
                <w:i/>
                <w:iCs/>
                <w:color w:val="000000"/>
                <w:u w:val="single"/>
              </w:rPr>
              <w:t>částka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i/>
                <w:iCs/>
                <w:color w:val="000000"/>
                <w:u w:val="single"/>
              </w:rPr>
            </w:pPr>
            <w:r w:rsidRPr="003E429B">
              <w:rPr>
                <w:rFonts w:asciiTheme="minorHAnsi" w:hAnsiTheme="minorHAnsi" w:cstheme="minorHAnsi"/>
                <w:i/>
                <w:iCs/>
                <w:color w:val="000000"/>
                <w:u w:val="single"/>
              </w:rPr>
              <w:t>Odborný lékař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  <w:r w:rsidRPr="003E42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B2DB1" w:rsidRPr="003E429B" w:rsidTr="007857E6">
        <w:trPr>
          <w:trHeight w:val="300"/>
        </w:trPr>
        <w:tc>
          <w:tcPr>
            <w:tcW w:w="29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3E429B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E42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Nízkobílkovin</w:t>
            </w:r>
            <w:r w:rsidR="003E42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</w:t>
            </w:r>
            <w:r w:rsidRPr="003E42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ová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  <w:r w:rsidRPr="003E42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1,380,-Kč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  <w:r w:rsidRPr="003E42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vnitřní lékařství, </w:t>
            </w:r>
            <w:proofErr w:type="spellStart"/>
            <w:r w:rsidRPr="003E42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nefrologie</w:t>
            </w:r>
            <w:proofErr w:type="spellEnd"/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  <w:r w:rsidRPr="003E42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B2DB1" w:rsidRPr="003E429B" w:rsidTr="007857E6">
        <w:trPr>
          <w:trHeight w:val="300"/>
        </w:trPr>
        <w:tc>
          <w:tcPr>
            <w:tcW w:w="29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  <w:r w:rsidRPr="003E42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Dieta při dialýze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  <w:r w:rsidRPr="003E42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1,000,-Kč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  <w:r w:rsidRPr="003E42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lékař dialyzačního programu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  <w:r w:rsidRPr="003E42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B2DB1" w:rsidRPr="003E429B" w:rsidTr="007857E6">
        <w:trPr>
          <w:trHeight w:val="300"/>
        </w:trPr>
        <w:tc>
          <w:tcPr>
            <w:tcW w:w="31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  <w:r w:rsidRPr="003E42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Dieta </w:t>
            </w:r>
            <w:proofErr w:type="spellStart"/>
            <w:r w:rsidRPr="003E42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nízkocholesterolová</w:t>
            </w:r>
            <w:proofErr w:type="spellEnd"/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  <w:r w:rsidRPr="003E42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1,050,-Kč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  <w:r w:rsidRPr="003E42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vnitřní lékařství, endokrinologie</w:t>
            </w:r>
          </w:p>
        </w:tc>
      </w:tr>
      <w:tr w:rsidR="004B2DB1" w:rsidRPr="003E429B" w:rsidTr="007857E6">
        <w:trPr>
          <w:trHeight w:val="300"/>
        </w:trPr>
        <w:tc>
          <w:tcPr>
            <w:tcW w:w="29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  <w:r w:rsidRPr="003E42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Dieta diabetická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  <w:r w:rsidRPr="003E42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1,130,-Kč</w:t>
            </w: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  <w:r w:rsidRPr="003E42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diabetologie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  <w:r w:rsidRPr="003E42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B2DB1" w:rsidRPr="003E429B" w:rsidTr="007857E6">
        <w:trPr>
          <w:trHeight w:val="300"/>
        </w:trPr>
        <w:tc>
          <w:tcPr>
            <w:tcW w:w="31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  <w:r w:rsidRPr="003E42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Dieta při fenylketonurii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  <w:r w:rsidRPr="003E42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2,200,-Kč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  <w:r w:rsidRPr="003E42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gastroenterologie, vnitřní lékařství</w:t>
            </w:r>
          </w:p>
        </w:tc>
      </w:tr>
      <w:tr w:rsidR="004B2DB1" w:rsidRPr="003E429B" w:rsidTr="007857E6">
        <w:trPr>
          <w:trHeight w:val="300"/>
        </w:trPr>
        <w:tc>
          <w:tcPr>
            <w:tcW w:w="29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  <w:r w:rsidRPr="003E42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Dieta při </w:t>
            </w:r>
            <w:proofErr w:type="spellStart"/>
            <w:r w:rsidRPr="003E42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celiakií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  <w:r w:rsidRPr="003E42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2,800,-Kč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  <w:r w:rsidRPr="003E42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gastroenterologie, vnitřní lékařství</w:t>
            </w:r>
          </w:p>
        </w:tc>
      </w:tr>
      <w:tr w:rsidR="004B2DB1" w:rsidRPr="003E429B" w:rsidTr="007857E6">
        <w:trPr>
          <w:trHeight w:val="300"/>
        </w:trPr>
        <w:tc>
          <w:tcPr>
            <w:tcW w:w="31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3E429B">
            <w:pPr>
              <w:rPr>
                <w:rFonts w:asciiTheme="minorHAnsi" w:hAnsiTheme="minorHAnsi" w:cstheme="minorHAnsi"/>
                <w:color w:val="000000"/>
              </w:rPr>
            </w:pPr>
            <w:r w:rsidRPr="003E42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Dieta při osteopor</w:t>
            </w:r>
            <w:r w:rsidR="003E42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ó</w:t>
            </w:r>
            <w:r w:rsidRPr="003E42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  <w:r w:rsidRPr="003E42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1,090,-Kč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  <w:r w:rsidRPr="003E42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vnitřní lékařství, endokrinologie</w:t>
            </w:r>
          </w:p>
        </w:tc>
      </w:tr>
      <w:tr w:rsidR="004B2DB1" w:rsidRPr="003E429B" w:rsidTr="007857E6">
        <w:trPr>
          <w:trHeight w:val="300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  <w:r w:rsidRPr="003E42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5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  <w:r w:rsidRPr="003E42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revmatologie, ortopedie, gynekolog</w:t>
            </w:r>
          </w:p>
        </w:tc>
      </w:tr>
      <w:tr w:rsidR="004B2DB1" w:rsidRPr="003E429B" w:rsidTr="007857E6">
        <w:trPr>
          <w:trHeight w:val="300"/>
        </w:trPr>
        <w:tc>
          <w:tcPr>
            <w:tcW w:w="31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  <w:r w:rsidRPr="003E42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Dieta při laktózové intoleranci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  <w:r w:rsidRPr="003E42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1,070,-Kč</w:t>
            </w: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  <w:r w:rsidRPr="003E42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gastroenterologie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  <w:r w:rsidRPr="003E42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B2DB1" w:rsidRPr="003E429B" w:rsidTr="007857E6">
        <w:trPr>
          <w:trHeight w:val="300"/>
        </w:trPr>
        <w:tc>
          <w:tcPr>
            <w:tcW w:w="3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  <w:r w:rsidRPr="003E42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Dieta při těhotenství a kojení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  <w:r w:rsidRPr="003E42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  <w:r w:rsidRPr="003E42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1,100,-Kč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  <w:r w:rsidRPr="003E42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gynekologie, porodnictví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4B2DB1" w:rsidRPr="003E429B" w:rsidRDefault="004B2DB1" w:rsidP="004B2DB1">
            <w:pPr>
              <w:rPr>
                <w:rFonts w:asciiTheme="minorHAnsi" w:hAnsiTheme="minorHAnsi" w:cstheme="minorHAnsi"/>
                <w:color w:val="000000"/>
              </w:rPr>
            </w:pPr>
            <w:r w:rsidRPr="003E42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:rsidR="004B2DB1" w:rsidRPr="003E429B" w:rsidRDefault="004B2DB1" w:rsidP="004F38F2">
      <w:pPr>
        <w:rPr>
          <w:rFonts w:asciiTheme="minorHAnsi" w:hAnsiTheme="minorHAnsi" w:cstheme="minorHAnsi"/>
          <w:b/>
        </w:rPr>
      </w:pPr>
      <w:r w:rsidRPr="003E429B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</w:t>
      </w:r>
    </w:p>
    <w:p w:rsidR="004F2CFF" w:rsidRPr="003E429B" w:rsidRDefault="004F2CFF" w:rsidP="004F38F2">
      <w:pPr>
        <w:rPr>
          <w:rFonts w:asciiTheme="minorHAnsi" w:hAnsiTheme="minorHAnsi" w:cstheme="minorHAnsi"/>
          <w:i/>
          <w:sz w:val="20"/>
          <w:szCs w:val="20"/>
        </w:rPr>
      </w:pPr>
      <w:r w:rsidRPr="003E429B">
        <w:rPr>
          <w:rFonts w:asciiTheme="minorHAnsi" w:hAnsiTheme="minorHAnsi" w:cstheme="minorHAnsi"/>
          <w:b/>
        </w:rPr>
        <w:t xml:space="preserve">       </w:t>
      </w:r>
      <w:r w:rsidR="003E429B">
        <w:rPr>
          <w:rFonts w:asciiTheme="minorHAnsi" w:hAnsiTheme="minorHAnsi" w:cstheme="minorHAnsi"/>
          <w:b/>
        </w:rPr>
        <w:t xml:space="preserve">                         </w:t>
      </w:r>
      <w:r w:rsidRPr="003E429B">
        <w:rPr>
          <w:rFonts w:asciiTheme="minorHAnsi" w:hAnsiTheme="minorHAnsi" w:cstheme="minorHAnsi"/>
          <w:b/>
        </w:rPr>
        <w:t xml:space="preserve"> </w:t>
      </w:r>
      <w:r w:rsidRPr="003E429B">
        <w:rPr>
          <w:rFonts w:asciiTheme="minorHAnsi" w:hAnsiTheme="minorHAnsi" w:cstheme="minorHAnsi"/>
          <w:i/>
          <w:sz w:val="20"/>
          <w:szCs w:val="20"/>
        </w:rPr>
        <w:t>Mgr</w:t>
      </w:r>
      <w:r w:rsidR="004B2DB1" w:rsidRPr="003E429B">
        <w:rPr>
          <w:rFonts w:asciiTheme="minorHAnsi" w:hAnsiTheme="minorHAnsi" w:cstheme="minorHAnsi"/>
          <w:i/>
          <w:sz w:val="20"/>
          <w:szCs w:val="20"/>
        </w:rPr>
        <w:t>.</w:t>
      </w:r>
      <w:r w:rsidR="0068420B" w:rsidRPr="003E429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3E429B">
        <w:rPr>
          <w:rFonts w:asciiTheme="minorHAnsi" w:hAnsiTheme="minorHAnsi" w:cstheme="minorHAnsi"/>
          <w:i/>
          <w:sz w:val="20"/>
          <w:szCs w:val="20"/>
        </w:rPr>
        <w:t>Josef Kočí,</w:t>
      </w:r>
      <w:r w:rsidR="004B2DB1" w:rsidRPr="003E429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3E429B">
        <w:rPr>
          <w:rFonts w:asciiTheme="minorHAnsi" w:hAnsiTheme="minorHAnsi" w:cstheme="minorHAnsi"/>
          <w:i/>
          <w:sz w:val="20"/>
          <w:szCs w:val="20"/>
        </w:rPr>
        <w:t>Dis</w:t>
      </w:r>
      <w:r w:rsidR="003E429B">
        <w:rPr>
          <w:rFonts w:asciiTheme="minorHAnsi" w:hAnsiTheme="minorHAnsi" w:cstheme="minorHAnsi"/>
          <w:i/>
          <w:sz w:val="20"/>
          <w:szCs w:val="20"/>
        </w:rPr>
        <w:t xml:space="preserve">, </w:t>
      </w:r>
      <w:hyperlink r:id="rId5" w:history="1">
        <w:r w:rsidR="003E429B" w:rsidRPr="004B4D85">
          <w:rPr>
            <w:rStyle w:val="Hypertextovodkaz"/>
            <w:rFonts w:asciiTheme="minorHAnsi" w:hAnsiTheme="minorHAnsi" w:cstheme="minorHAnsi"/>
            <w:i/>
            <w:sz w:val="20"/>
            <w:szCs w:val="20"/>
          </w:rPr>
          <w:t>Josef.Koci@KZCR.eu</w:t>
        </w:r>
      </w:hyperlink>
      <w:r w:rsidR="003E429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3E429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3E429B">
        <w:rPr>
          <w:rFonts w:asciiTheme="minorHAnsi" w:hAnsiTheme="minorHAnsi" w:cstheme="minorHAnsi"/>
          <w:i/>
          <w:sz w:val="20"/>
          <w:szCs w:val="20"/>
        </w:rPr>
        <w:t>–</w:t>
      </w:r>
      <w:r w:rsidRPr="003E429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3E429B">
        <w:rPr>
          <w:rFonts w:asciiTheme="minorHAnsi" w:hAnsiTheme="minorHAnsi" w:cstheme="minorHAnsi"/>
          <w:i/>
          <w:sz w:val="20"/>
          <w:szCs w:val="20"/>
        </w:rPr>
        <w:t xml:space="preserve">Rehabilitační oddělení </w:t>
      </w:r>
      <w:r w:rsidR="0068420B" w:rsidRPr="003E429B">
        <w:rPr>
          <w:rFonts w:asciiTheme="minorHAnsi" w:hAnsiTheme="minorHAnsi" w:cstheme="minorHAnsi"/>
          <w:i/>
          <w:sz w:val="20"/>
          <w:szCs w:val="20"/>
        </w:rPr>
        <w:t xml:space="preserve">- </w:t>
      </w:r>
      <w:r w:rsidR="003E429B">
        <w:rPr>
          <w:rFonts w:asciiTheme="minorHAnsi" w:hAnsiTheme="minorHAnsi" w:cstheme="minorHAnsi"/>
          <w:i/>
          <w:sz w:val="20"/>
          <w:szCs w:val="20"/>
        </w:rPr>
        <w:t>MNUL Ústí nad Labem</w:t>
      </w:r>
    </w:p>
    <w:sectPr w:rsidR="004F2CFF" w:rsidRPr="003E429B" w:rsidSect="00BC3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orte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64_"/>
      </v:shape>
    </w:pict>
  </w:numPicBullet>
  <w:abstractNum w:abstractNumId="0">
    <w:nsid w:val="3F5E3591"/>
    <w:multiLevelType w:val="hybridMultilevel"/>
    <w:tmpl w:val="6212A43E"/>
    <w:lvl w:ilvl="0" w:tplc="694613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BA28DD"/>
    <w:multiLevelType w:val="hybridMultilevel"/>
    <w:tmpl w:val="185E2826"/>
    <w:lvl w:ilvl="0" w:tplc="20EA2D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3181"/>
    <w:rsid w:val="00024C1F"/>
    <w:rsid w:val="00166413"/>
    <w:rsid w:val="001714B5"/>
    <w:rsid w:val="001833FF"/>
    <w:rsid w:val="0020748C"/>
    <w:rsid w:val="00211D1D"/>
    <w:rsid w:val="002368FF"/>
    <w:rsid w:val="00243181"/>
    <w:rsid w:val="0029023C"/>
    <w:rsid w:val="002B1377"/>
    <w:rsid w:val="003601C9"/>
    <w:rsid w:val="00360B4A"/>
    <w:rsid w:val="00374E54"/>
    <w:rsid w:val="003A2553"/>
    <w:rsid w:val="003E429B"/>
    <w:rsid w:val="00455300"/>
    <w:rsid w:val="004B2DB1"/>
    <w:rsid w:val="004F2CFF"/>
    <w:rsid w:val="004F38F2"/>
    <w:rsid w:val="0068420B"/>
    <w:rsid w:val="00686B34"/>
    <w:rsid w:val="006A278E"/>
    <w:rsid w:val="007857E6"/>
    <w:rsid w:val="007B0057"/>
    <w:rsid w:val="00807A0D"/>
    <w:rsid w:val="00852066"/>
    <w:rsid w:val="008602FF"/>
    <w:rsid w:val="00887767"/>
    <w:rsid w:val="008967E8"/>
    <w:rsid w:val="00902F6A"/>
    <w:rsid w:val="00922852"/>
    <w:rsid w:val="0099757C"/>
    <w:rsid w:val="009B198F"/>
    <w:rsid w:val="00A371C7"/>
    <w:rsid w:val="00A96C21"/>
    <w:rsid w:val="00AC11F0"/>
    <w:rsid w:val="00B635F9"/>
    <w:rsid w:val="00BC34A8"/>
    <w:rsid w:val="00BE479F"/>
    <w:rsid w:val="00BE524F"/>
    <w:rsid w:val="00C747DC"/>
    <w:rsid w:val="00CA5532"/>
    <w:rsid w:val="00D63EEE"/>
    <w:rsid w:val="00F15B14"/>
    <w:rsid w:val="00FA2337"/>
    <w:rsid w:val="00FC4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74E54"/>
    <w:pPr>
      <w:spacing w:before="60" w:after="60" w:line="330" w:lineRule="atLeast"/>
      <w:outlineLvl w:val="2"/>
    </w:pPr>
    <w:rPr>
      <w:b/>
      <w:bCs/>
      <w:color w:val="07070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5B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B14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71C7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374E54"/>
    <w:rPr>
      <w:rFonts w:ascii="Times New Roman" w:eastAsia="Times New Roman" w:hAnsi="Times New Roman" w:cs="Times New Roman"/>
      <w:b/>
      <w:bCs/>
      <w:color w:val="070707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374E54"/>
    <w:rPr>
      <w:b/>
      <w:bCs/>
      <w:i w:val="0"/>
      <w:iCs w:val="0"/>
    </w:rPr>
  </w:style>
  <w:style w:type="paragraph" w:customStyle="1" w:styleId="para1">
    <w:name w:val="para1"/>
    <w:basedOn w:val="Normln"/>
    <w:rsid w:val="00374E54"/>
    <w:pPr>
      <w:jc w:val="both"/>
    </w:pPr>
    <w:rPr>
      <w:b/>
      <w:bCs/>
      <w:color w:val="FF84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4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5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62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53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sef.Koci@KZCR.e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zdravotní, a.s.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Josef.Koci</dc:creator>
  <cp:lastModifiedBy>Josef.Koci</cp:lastModifiedBy>
  <cp:revision>4</cp:revision>
  <dcterms:created xsi:type="dcterms:W3CDTF">2015-07-03T10:17:00Z</dcterms:created>
  <dcterms:modified xsi:type="dcterms:W3CDTF">2018-04-23T09:35:00Z</dcterms:modified>
</cp:coreProperties>
</file>