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90" w:rsidRPr="005E2B83" w:rsidRDefault="00CE6667" w:rsidP="008F7690">
      <w:pPr>
        <w:tabs>
          <w:tab w:val="center" w:pos="4500"/>
        </w:tabs>
        <w:spacing w:before="360"/>
        <w:jc w:val="center"/>
        <w:rPr>
          <w:rFonts w:ascii="Book Antiqua" w:hAnsi="Book Antiqua"/>
          <w:b/>
          <w:bCs/>
          <w:caps/>
          <w:sz w:val="28"/>
          <w:szCs w:val="28"/>
        </w:rPr>
      </w:pPr>
      <w:r>
        <w:rPr>
          <w:rFonts w:ascii="Book Antiqua" w:hAnsi="Book Antiqua"/>
          <w:b/>
          <w:bCs/>
          <w:caps/>
          <w:sz w:val="28"/>
          <w:szCs w:val="28"/>
        </w:rPr>
        <w:t>Smlouva</w:t>
      </w:r>
      <w:r w:rsidR="008F7690" w:rsidRPr="005E2B83">
        <w:rPr>
          <w:rFonts w:ascii="Book Antiqua" w:hAnsi="Book Antiqua"/>
          <w:b/>
          <w:bCs/>
          <w:caps/>
          <w:sz w:val="28"/>
          <w:szCs w:val="28"/>
        </w:rPr>
        <w:t xml:space="preserve"> o poskytnutí služby</w:t>
      </w:r>
    </w:p>
    <w:p w:rsidR="008F7690" w:rsidRPr="005E2B83" w:rsidRDefault="008F7690" w:rsidP="008F7690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uzavřená podle právního řádu České republiky v souladu s ustanovením § 269 odst. 2 zákona č. 513/1991 Sb., obchodního zákoníku, v platném znění (dále jen Smlouva)</w:t>
      </w:r>
    </w:p>
    <w:p w:rsidR="008F7690" w:rsidRPr="005E2B83" w:rsidRDefault="008F7690" w:rsidP="008F7690">
      <w:pPr>
        <w:pStyle w:val="Zkladntext"/>
        <w:rPr>
          <w:rFonts w:ascii="Book Antiqua" w:hAnsi="Book Antiqua"/>
          <w:b/>
          <w:bCs/>
          <w:sz w:val="22"/>
          <w:szCs w:val="22"/>
        </w:rPr>
      </w:pPr>
    </w:p>
    <w:p w:rsidR="008F7690" w:rsidRPr="005E2B83" w:rsidRDefault="008F7690" w:rsidP="008F7690">
      <w:pPr>
        <w:pStyle w:val="Zkladntext"/>
        <w:rPr>
          <w:rFonts w:ascii="Book Antiqua" w:hAnsi="Book Antiqua"/>
          <w:b/>
          <w:bCs/>
          <w:sz w:val="22"/>
          <w:szCs w:val="22"/>
        </w:rPr>
      </w:pPr>
      <w:r w:rsidRPr="005E2B83">
        <w:rPr>
          <w:rFonts w:ascii="Book Antiqua" w:hAnsi="Book Antiqua"/>
          <w:b/>
          <w:bCs/>
          <w:sz w:val="22"/>
          <w:szCs w:val="22"/>
        </w:rPr>
        <w:t>1. SMLUVNÍ STRANY</w:t>
      </w:r>
    </w:p>
    <w:p w:rsidR="008F7690" w:rsidRPr="005E2B83" w:rsidRDefault="008F7690" w:rsidP="00476595">
      <w:pPr>
        <w:keepNext/>
        <w:ind w:left="2127" w:hanging="2127"/>
        <w:rPr>
          <w:rFonts w:ascii="Book Antiqua" w:hAnsi="Book Antiqua"/>
          <w:b/>
          <w:sz w:val="22"/>
          <w:szCs w:val="22"/>
        </w:rPr>
      </w:pPr>
      <w:r w:rsidRPr="005E2B83">
        <w:rPr>
          <w:rFonts w:ascii="Book Antiqua" w:hAnsi="Book Antiqua"/>
          <w:b/>
          <w:sz w:val="22"/>
          <w:szCs w:val="22"/>
        </w:rPr>
        <w:t>Příjemce</w:t>
      </w:r>
      <w:r w:rsidRPr="005E2B83">
        <w:rPr>
          <w:rFonts w:ascii="Book Antiqua" w:hAnsi="Book Antiqua"/>
          <w:b/>
          <w:sz w:val="22"/>
          <w:szCs w:val="22"/>
        </w:rPr>
        <w:tab/>
      </w:r>
      <w:r w:rsidR="00476595" w:rsidRPr="005E2B83">
        <w:rPr>
          <w:rFonts w:ascii="Book Antiqua" w:hAnsi="Book Antiqua"/>
          <w:sz w:val="22"/>
          <w:szCs w:val="22"/>
        </w:rPr>
        <w:t>:</w:t>
      </w:r>
      <w:r w:rsidR="00476595" w:rsidRPr="005E2B83">
        <w:rPr>
          <w:rFonts w:ascii="Book Antiqua" w:hAnsi="Book Antiqua"/>
          <w:b/>
          <w:sz w:val="22"/>
          <w:szCs w:val="22"/>
        </w:rPr>
        <w:t>Vyšší odborná škola a Střední škola, Varnsdorf, příspěvková organizace</w:t>
      </w:r>
      <w:r w:rsidRPr="005E2B83">
        <w:rPr>
          <w:rFonts w:ascii="Book Antiqua" w:hAnsi="Book Antiqua"/>
          <w:b/>
          <w:sz w:val="22"/>
          <w:szCs w:val="22"/>
        </w:rPr>
        <w:t xml:space="preserve">, </w:t>
      </w:r>
    </w:p>
    <w:p w:rsidR="008F7690" w:rsidRPr="005E2B83" w:rsidRDefault="008F7690" w:rsidP="008F7690">
      <w:pPr>
        <w:keepNext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se sídlem:</w:t>
      </w:r>
      <w:r w:rsidRPr="005E2B83">
        <w:rPr>
          <w:rFonts w:ascii="Book Antiqua" w:hAnsi="Book Antiqua"/>
          <w:sz w:val="22"/>
          <w:szCs w:val="22"/>
        </w:rPr>
        <w:tab/>
        <w:t>:</w:t>
      </w:r>
      <w:r w:rsidRPr="005E2B83">
        <w:rPr>
          <w:rFonts w:ascii="Book Antiqua" w:hAnsi="Book Antiqua"/>
          <w:sz w:val="22"/>
          <w:szCs w:val="22"/>
        </w:rPr>
        <w:tab/>
      </w:r>
      <w:r w:rsidR="00831F65">
        <w:rPr>
          <w:rFonts w:ascii="Book Antiqua" w:hAnsi="Book Antiqua"/>
          <w:sz w:val="22"/>
          <w:szCs w:val="22"/>
        </w:rPr>
        <w:t xml:space="preserve">Bratislavská 2166, PSČ: 407 47 </w:t>
      </w:r>
      <w:r w:rsidR="00476595" w:rsidRPr="005E2B83">
        <w:rPr>
          <w:rFonts w:ascii="Book Antiqua" w:hAnsi="Book Antiqua"/>
          <w:sz w:val="22"/>
          <w:szCs w:val="22"/>
        </w:rPr>
        <w:t>Varnsdorf</w:t>
      </w:r>
      <w:r w:rsidRPr="005E2B83">
        <w:rPr>
          <w:rFonts w:ascii="Book Antiqua" w:hAnsi="Book Antiqua"/>
          <w:sz w:val="22"/>
          <w:szCs w:val="22"/>
        </w:rPr>
        <w:br/>
        <w:t>zastoupený</w:t>
      </w:r>
      <w:r w:rsidRPr="005E2B83">
        <w:rPr>
          <w:rFonts w:ascii="Book Antiqua" w:hAnsi="Book Antiqua"/>
          <w:sz w:val="22"/>
          <w:szCs w:val="22"/>
        </w:rPr>
        <w:tab/>
        <w:t>:</w:t>
      </w:r>
      <w:r w:rsidRPr="005E2B83">
        <w:rPr>
          <w:rFonts w:ascii="Book Antiqua" w:hAnsi="Book Antiqua"/>
          <w:sz w:val="22"/>
          <w:szCs w:val="22"/>
        </w:rPr>
        <w:tab/>
      </w:r>
      <w:r w:rsidR="00B36A39" w:rsidRPr="00B36A39">
        <w:rPr>
          <w:rFonts w:ascii="Book Antiqua" w:hAnsi="Book Antiqua"/>
          <w:sz w:val="22"/>
          <w:szCs w:val="22"/>
        </w:rPr>
        <w:t>Ing. Petr Jakubec</w:t>
      </w:r>
      <w:r w:rsidR="00476595" w:rsidRPr="005E2B83">
        <w:rPr>
          <w:rFonts w:ascii="Book Antiqua" w:hAnsi="Book Antiqua"/>
          <w:sz w:val="22"/>
          <w:szCs w:val="22"/>
        </w:rPr>
        <w:t>, ředitel</w:t>
      </w:r>
    </w:p>
    <w:p w:rsidR="008F7690" w:rsidRPr="005E2B83" w:rsidRDefault="008F7690" w:rsidP="008F7690">
      <w:pPr>
        <w:keepNext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IČ</w:t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tab/>
        <w:t>:</w:t>
      </w:r>
      <w:r w:rsidRPr="005E2B83">
        <w:rPr>
          <w:rFonts w:ascii="Book Antiqua" w:hAnsi="Book Antiqua"/>
          <w:sz w:val="22"/>
          <w:szCs w:val="22"/>
        </w:rPr>
        <w:tab/>
      </w:r>
      <w:r w:rsidR="00476595" w:rsidRPr="005E2B83">
        <w:rPr>
          <w:rFonts w:ascii="Book Antiqua" w:hAnsi="Book Antiqua"/>
          <w:sz w:val="22"/>
          <w:szCs w:val="22"/>
        </w:rPr>
        <w:t>18383874</w:t>
      </w:r>
    </w:p>
    <w:p w:rsidR="008F7690" w:rsidRPr="005E2B83" w:rsidRDefault="008F7690" w:rsidP="008F7690">
      <w:pPr>
        <w:keepNext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DIČ</w:t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tab/>
        <w:t>:</w:t>
      </w:r>
      <w:r w:rsidRPr="005E2B83">
        <w:rPr>
          <w:rFonts w:ascii="Book Antiqua" w:hAnsi="Book Antiqua"/>
          <w:sz w:val="22"/>
          <w:szCs w:val="22"/>
        </w:rPr>
        <w:tab/>
        <w:t>CZ</w:t>
      </w:r>
      <w:r w:rsidR="00476595" w:rsidRPr="005E2B83">
        <w:rPr>
          <w:rFonts w:ascii="Book Antiqua" w:hAnsi="Book Antiqua"/>
          <w:sz w:val="22"/>
          <w:szCs w:val="22"/>
        </w:rPr>
        <w:t>18383874</w:t>
      </w:r>
    </w:p>
    <w:p w:rsidR="008F7690" w:rsidRPr="005E2B83" w:rsidRDefault="008F7690" w:rsidP="008F7690">
      <w:pPr>
        <w:keepNext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bankovní spojení:</w:t>
      </w:r>
      <w:r w:rsidRPr="005E2B83">
        <w:rPr>
          <w:rFonts w:ascii="Book Antiqua" w:hAnsi="Book Antiqua"/>
          <w:sz w:val="22"/>
          <w:szCs w:val="22"/>
        </w:rPr>
        <w:tab/>
      </w:r>
      <w:r w:rsidR="009C3C5D">
        <w:rPr>
          <w:rFonts w:ascii="Book Antiqua" w:hAnsi="Book Antiqua"/>
          <w:sz w:val="22"/>
          <w:szCs w:val="22"/>
        </w:rPr>
        <w:t>107-1357530289/0100</w:t>
      </w:r>
    </w:p>
    <w:p w:rsidR="008F7690" w:rsidRPr="005E2B83" w:rsidRDefault="008F7690" w:rsidP="008F7690">
      <w:pPr>
        <w:tabs>
          <w:tab w:val="left" w:pos="5580"/>
        </w:tabs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kontaktní adresa:        </w:t>
      </w:r>
      <w:r w:rsidR="00831F65">
        <w:rPr>
          <w:rFonts w:ascii="Book Antiqua" w:hAnsi="Book Antiqua"/>
          <w:iCs/>
          <w:sz w:val="22"/>
          <w:szCs w:val="22"/>
        </w:rPr>
        <w:t>Bratislavská 2166, PSČ: 407 47</w:t>
      </w:r>
      <w:r w:rsidR="00476595" w:rsidRPr="005E2B83">
        <w:rPr>
          <w:rFonts w:ascii="Book Antiqua" w:hAnsi="Book Antiqua"/>
          <w:iCs/>
          <w:sz w:val="22"/>
          <w:szCs w:val="22"/>
        </w:rPr>
        <w:t xml:space="preserve"> Varnsdorf</w:t>
      </w:r>
    </w:p>
    <w:p w:rsidR="008F7690" w:rsidRPr="005E2B83" w:rsidRDefault="008F7690" w:rsidP="008F7690">
      <w:pPr>
        <w:tabs>
          <w:tab w:val="left" w:pos="5580"/>
        </w:tabs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fakturační adresa:</w:t>
      </w:r>
      <w:r w:rsidR="005826E8">
        <w:rPr>
          <w:rFonts w:ascii="Book Antiqua" w:hAnsi="Book Antiqua"/>
          <w:sz w:val="22"/>
          <w:szCs w:val="22"/>
        </w:rPr>
        <w:t xml:space="preserve">       </w:t>
      </w:r>
      <w:r w:rsidR="00831F65">
        <w:rPr>
          <w:rFonts w:ascii="Book Antiqua" w:hAnsi="Book Antiqua"/>
          <w:iCs/>
          <w:sz w:val="22"/>
          <w:szCs w:val="22"/>
        </w:rPr>
        <w:t>Bratislavská 2166, PSČ: 407 47</w:t>
      </w:r>
      <w:r w:rsidR="00476595" w:rsidRPr="005E2B83">
        <w:rPr>
          <w:rFonts w:ascii="Book Antiqua" w:hAnsi="Book Antiqua"/>
          <w:iCs/>
          <w:sz w:val="22"/>
          <w:szCs w:val="22"/>
        </w:rPr>
        <w:t xml:space="preserve"> Varnsdorf</w:t>
      </w:r>
    </w:p>
    <w:p w:rsidR="008F7690" w:rsidRPr="005E2B83" w:rsidRDefault="008F7690" w:rsidP="008F7690">
      <w:pPr>
        <w:tabs>
          <w:tab w:val="left" w:pos="5580"/>
        </w:tabs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kontaktní osoba:         </w:t>
      </w:r>
      <w:r w:rsidR="00476595" w:rsidRPr="005E2B83">
        <w:rPr>
          <w:rFonts w:ascii="Book Antiqua" w:hAnsi="Book Antiqua"/>
          <w:sz w:val="22"/>
          <w:szCs w:val="22"/>
        </w:rPr>
        <w:t>Ing. Václa</w:t>
      </w:r>
      <w:r w:rsidR="005826E8">
        <w:rPr>
          <w:rFonts w:ascii="Book Antiqua" w:hAnsi="Book Antiqua"/>
          <w:sz w:val="22"/>
          <w:szCs w:val="22"/>
        </w:rPr>
        <w:t>v</w:t>
      </w:r>
      <w:r w:rsidR="00476595" w:rsidRPr="005E2B83">
        <w:rPr>
          <w:rFonts w:ascii="Book Antiqua" w:hAnsi="Book Antiqua"/>
          <w:sz w:val="22"/>
          <w:szCs w:val="22"/>
        </w:rPr>
        <w:t xml:space="preserve"> Černohous</w:t>
      </w:r>
      <w:r w:rsidRPr="005E2B83">
        <w:rPr>
          <w:rFonts w:ascii="Book Antiqua" w:hAnsi="Book Antiqua"/>
          <w:sz w:val="22"/>
          <w:szCs w:val="22"/>
        </w:rPr>
        <w:t xml:space="preserve">, </w:t>
      </w:r>
      <w:r w:rsidR="00831F65">
        <w:rPr>
          <w:rFonts w:ascii="Book Antiqua" w:hAnsi="Book Antiqua"/>
          <w:sz w:val="22"/>
          <w:szCs w:val="22"/>
        </w:rPr>
        <w:t>Bratislavská 2166, PSČ: 407 47</w:t>
      </w:r>
      <w:r w:rsidR="00476595" w:rsidRPr="005E2B83">
        <w:rPr>
          <w:rFonts w:ascii="Book Antiqua" w:hAnsi="Book Antiqua"/>
          <w:sz w:val="22"/>
          <w:szCs w:val="22"/>
        </w:rPr>
        <w:t xml:space="preserve"> Varnsdorf</w:t>
      </w:r>
      <w:r w:rsidRPr="005E2B83">
        <w:rPr>
          <w:rFonts w:ascii="Book Antiqua" w:hAnsi="Book Antiqua"/>
          <w:sz w:val="22"/>
          <w:szCs w:val="22"/>
        </w:rPr>
        <w:t xml:space="preserve">, </w:t>
      </w:r>
      <w:r w:rsidRPr="005E2B83">
        <w:rPr>
          <w:rFonts w:ascii="Book Antiqua" w:hAnsi="Book Antiqua"/>
          <w:sz w:val="22"/>
          <w:szCs w:val="22"/>
        </w:rPr>
        <w:br/>
        <w:t xml:space="preserve">                                   e-mail: </w:t>
      </w:r>
      <w:hyperlink r:id="rId9" w:history="1">
        <w:r w:rsidR="00476595" w:rsidRPr="005E2B83">
          <w:rPr>
            <w:rStyle w:val="Hypertextovodkaz"/>
            <w:rFonts w:ascii="Book Antiqua" w:hAnsi="Book Antiqua"/>
            <w:sz w:val="22"/>
            <w:szCs w:val="22"/>
          </w:rPr>
          <w:t>v.cernohous@sosvdf.cz</w:t>
        </w:r>
      </w:hyperlink>
      <w:r w:rsidRPr="005E2B83">
        <w:rPr>
          <w:rFonts w:ascii="Book Antiqua" w:hAnsi="Book Antiqua"/>
          <w:sz w:val="22"/>
          <w:szCs w:val="22"/>
        </w:rPr>
        <w:t xml:space="preserve">, tel. </w:t>
      </w:r>
      <w:r w:rsidR="00476595" w:rsidRPr="005E2B83">
        <w:rPr>
          <w:rFonts w:ascii="Book Antiqua" w:hAnsi="Book Antiqua"/>
          <w:sz w:val="22"/>
          <w:szCs w:val="22"/>
        </w:rPr>
        <w:t>+420 412 354 775</w:t>
      </w:r>
      <w:r w:rsidRPr="005E2B83">
        <w:rPr>
          <w:rFonts w:ascii="Book Antiqua" w:hAnsi="Book Antiqua"/>
          <w:sz w:val="22"/>
          <w:szCs w:val="22"/>
        </w:rPr>
        <w:br/>
      </w:r>
    </w:p>
    <w:p w:rsidR="008F7690" w:rsidRPr="005E2B83" w:rsidRDefault="00831F65" w:rsidP="008F7690">
      <w:pPr>
        <w:tabs>
          <w:tab w:val="left" w:pos="558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dále jen</w:t>
      </w:r>
      <w:r w:rsidR="008F7690" w:rsidRPr="005E2B83">
        <w:rPr>
          <w:rFonts w:ascii="Book Antiqua" w:hAnsi="Book Antiqua"/>
          <w:sz w:val="22"/>
          <w:szCs w:val="22"/>
        </w:rPr>
        <w:t>: „</w:t>
      </w:r>
      <w:r w:rsidR="008F7690" w:rsidRPr="005E2B83">
        <w:rPr>
          <w:rFonts w:ascii="Book Antiqua" w:hAnsi="Book Antiqua"/>
          <w:i/>
          <w:sz w:val="22"/>
          <w:szCs w:val="22"/>
        </w:rPr>
        <w:t xml:space="preserve">příjemce“ </w:t>
      </w:r>
      <w:r w:rsidR="008F7690" w:rsidRPr="005E2B83">
        <w:rPr>
          <w:rFonts w:ascii="Book Antiqua" w:hAnsi="Book Antiqua"/>
          <w:sz w:val="22"/>
          <w:szCs w:val="22"/>
        </w:rPr>
        <w:t>a</w:t>
      </w:r>
    </w:p>
    <w:p w:rsidR="00086BB0" w:rsidRPr="005E2B83" w:rsidRDefault="00086BB0" w:rsidP="008F7690">
      <w:pPr>
        <w:keepNext/>
        <w:rPr>
          <w:rFonts w:ascii="Book Antiqua" w:hAnsi="Book Antiqua"/>
          <w:b/>
          <w:sz w:val="22"/>
          <w:szCs w:val="22"/>
        </w:rPr>
      </w:pPr>
    </w:p>
    <w:p w:rsidR="008F7690" w:rsidRPr="005E2B83" w:rsidRDefault="008F7690" w:rsidP="008F7690">
      <w:pPr>
        <w:keepNext/>
        <w:rPr>
          <w:rFonts w:ascii="Book Antiqua" w:hAnsi="Book Antiqua"/>
          <w:b/>
          <w:sz w:val="22"/>
          <w:szCs w:val="22"/>
        </w:rPr>
      </w:pPr>
      <w:r w:rsidRPr="005E2B83">
        <w:rPr>
          <w:rFonts w:ascii="Book Antiqua" w:hAnsi="Book Antiqua"/>
          <w:b/>
          <w:sz w:val="22"/>
          <w:szCs w:val="22"/>
        </w:rPr>
        <w:t xml:space="preserve">Poskytovatel: </w:t>
      </w:r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>doplní uchazeč</w:t>
      </w:r>
    </w:p>
    <w:p w:rsidR="008F7690" w:rsidRPr="005E2B83" w:rsidRDefault="00CE6667" w:rsidP="008F7690">
      <w:pPr>
        <w:pStyle w:val="Zpat"/>
        <w:keepNext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 sídlem</w:t>
      </w:r>
      <w:r w:rsidR="008F7690" w:rsidRPr="005E2B83">
        <w:rPr>
          <w:rFonts w:ascii="Book Antiqua" w:hAnsi="Book Antiqua"/>
          <w:sz w:val="22"/>
          <w:szCs w:val="22"/>
        </w:rPr>
        <w:t xml:space="preserve">: </w:t>
      </w:r>
      <w:r w:rsidRPr="00CE6667">
        <w:rPr>
          <w:rFonts w:ascii="Book Antiqua" w:hAnsi="Book Antiqua"/>
          <w:b/>
          <w:sz w:val="22"/>
          <w:szCs w:val="22"/>
          <w:highlight w:val="yellow"/>
        </w:rPr>
        <w:t>doplní uchazeč</w:t>
      </w:r>
    </w:p>
    <w:p w:rsidR="008F7690" w:rsidRPr="005E2B83" w:rsidRDefault="008F7690" w:rsidP="008F7690">
      <w:pPr>
        <w:pStyle w:val="Zpat"/>
        <w:keepNext/>
        <w:rPr>
          <w:rFonts w:ascii="Book Antiqua" w:hAnsi="Book Antiqua"/>
          <w:sz w:val="22"/>
          <w:szCs w:val="22"/>
        </w:rPr>
      </w:pPr>
      <w:proofErr w:type="spellStart"/>
      <w:r w:rsidRPr="005E2B83">
        <w:rPr>
          <w:rFonts w:ascii="Book Antiqua" w:hAnsi="Book Antiqua"/>
          <w:sz w:val="22"/>
          <w:szCs w:val="22"/>
        </w:rPr>
        <w:t>zastoupený:</w:t>
      </w:r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>doplní</w:t>
      </w:r>
      <w:proofErr w:type="spellEnd"/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 xml:space="preserve"> uchazeč</w:t>
      </w:r>
    </w:p>
    <w:p w:rsidR="008F7690" w:rsidRPr="005E2B83" w:rsidRDefault="008F7690" w:rsidP="008F7690">
      <w:pPr>
        <w:keepNext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IČ: </w:t>
      </w:r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>doplní uchazeč</w:t>
      </w:r>
    </w:p>
    <w:p w:rsidR="008F7690" w:rsidRPr="005E2B83" w:rsidRDefault="008F7690" w:rsidP="008F7690">
      <w:pPr>
        <w:keepNext/>
        <w:rPr>
          <w:rFonts w:ascii="Book Antiqua" w:hAnsi="Book Antiqua"/>
          <w:sz w:val="22"/>
          <w:szCs w:val="22"/>
        </w:rPr>
      </w:pPr>
      <w:proofErr w:type="spellStart"/>
      <w:r w:rsidRPr="005E2B83">
        <w:rPr>
          <w:rFonts w:ascii="Book Antiqua" w:hAnsi="Book Antiqua"/>
          <w:sz w:val="22"/>
          <w:szCs w:val="22"/>
        </w:rPr>
        <w:t>DIČ:</w:t>
      </w:r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>doplní</w:t>
      </w:r>
      <w:proofErr w:type="spellEnd"/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 xml:space="preserve"> uchazeč</w:t>
      </w:r>
    </w:p>
    <w:p w:rsidR="008F7690" w:rsidRPr="005E2B83" w:rsidRDefault="008F7690" w:rsidP="008F7690">
      <w:pPr>
        <w:keepNext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zapsán v obchodním </w:t>
      </w:r>
      <w:proofErr w:type="spellStart"/>
      <w:r w:rsidRPr="005E2B83">
        <w:rPr>
          <w:rFonts w:ascii="Book Antiqua" w:hAnsi="Book Antiqua"/>
          <w:sz w:val="22"/>
          <w:szCs w:val="22"/>
        </w:rPr>
        <w:t>rejstříku:</w:t>
      </w:r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>doplní</w:t>
      </w:r>
      <w:proofErr w:type="spellEnd"/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 xml:space="preserve"> uchazeč</w:t>
      </w:r>
    </w:p>
    <w:p w:rsidR="008F7690" w:rsidRPr="005E2B83" w:rsidRDefault="008F7690" w:rsidP="008F7690">
      <w:pPr>
        <w:keepNext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bankovní spojení: </w:t>
      </w:r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>doplní uchazeč</w:t>
      </w:r>
    </w:p>
    <w:p w:rsidR="00086BB0" w:rsidRPr="005E2B83" w:rsidRDefault="00086BB0" w:rsidP="008F7690">
      <w:pPr>
        <w:keepNext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fakturační </w:t>
      </w:r>
      <w:proofErr w:type="spellStart"/>
      <w:r w:rsidRPr="005E2B83">
        <w:rPr>
          <w:rFonts w:ascii="Book Antiqua" w:hAnsi="Book Antiqua"/>
          <w:sz w:val="22"/>
          <w:szCs w:val="22"/>
        </w:rPr>
        <w:t>adresa:</w:t>
      </w:r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>doplní</w:t>
      </w:r>
      <w:proofErr w:type="spellEnd"/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 xml:space="preserve"> uchazeč</w:t>
      </w:r>
    </w:p>
    <w:p w:rsidR="008F7690" w:rsidRPr="005E2B83" w:rsidRDefault="008F7690" w:rsidP="008F7690">
      <w:pPr>
        <w:keepNext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kontaktní </w:t>
      </w:r>
      <w:proofErr w:type="spellStart"/>
      <w:r w:rsidRPr="005E2B83">
        <w:rPr>
          <w:rFonts w:ascii="Book Antiqua" w:hAnsi="Book Antiqua"/>
          <w:sz w:val="22"/>
          <w:szCs w:val="22"/>
        </w:rPr>
        <w:t>adresa:</w:t>
      </w:r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>doplní</w:t>
      </w:r>
      <w:proofErr w:type="spellEnd"/>
      <w:r w:rsidR="00CE6667" w:rsidRPr="00CE6667">
        <w:rPr>
          <w:rFonts w:ascii="Book Antiqua" w:hAnsi="Book Antiqua"/>
          <w:b/>
          <w:sz w:val="22"/>
          <w:szCs w:val="22"/>
          <w:highlight w:val="yellow"/>
        </w:rPr>
        <w:t xml:space="preserve"> uchazeč</w:t>
      </w:r>
    </w:p>
    <w:p w:rsidR="008F7690" w:rsidRPr="005E2B83" w:rsidRDefault="008F7690" w:rsidP="008F7690">
      <w:pPr>
        <w:pStyle w:val="Zpat"/>
        <w:keepNext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pStyle w:val="Zpat"/>
        <w:keepNext/>
        <w:rPr>
          <w:rFonts w:ascii="Book Antiqua" w:hAnsi="Book Antiqua"/>
          <w:i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dále </w:t>
      </w:r>
      <w:proofErr w:type="gramStart"/>
      <w:r w:rsidRPr="005E2B83">
        <w:rPr>
          <w:rFonts w:ascii="Book Antiqua" w:hAnsi="Book Antiqua"/>
          <w:sz w:val="22"/>
          <w:szCs w:val="22"/>
        </w:rPr>
        <w:t>jen : „</w:t>
      </w:r>
      <w:r w:rsidRPr="005E2B83">
        <w:rPr>
          <w:rFonts w:ascii="Book Antiqua" w:hAnsi="Book Antiqua"/>
          <w:i/>
          <w:sz w:val="22"/>
          <w:szCs w:val="22"/>
        </w:rPr>
        <w:t>poskytovatel</w:t>
      </w:r>
      <w:proofErr w:type="gramEnd"/>
      <w:r w:rsidRPr="005E2B83">
        <w:rPr>
          <w:rFonts w:ascii="Book Antiqua" w:hAnsi="Book Antiqua"/>
          <w:i/>
          <w:sz w:val="22"/>
          <w:szCs w:val="22"/>
        </w:rPr>
        <w:t>“</w:t>
      </w:r>
    </w:p>
    <w:p w:rsidR="008F7690" w:rsidRPr="005E2B83" w:rsidRDefault="008F7690" w:rsidP="008F7690">
      <w:pPr>
        <w:keepNext/>
        <w:spacing w:before="240"/>
        <w:rPr>
          <w:rFonts w:ascii="Book Antiqua" w:hAnsi="Book Antiqua"/>
          <w:b/>
          <w:sz w:val="22"/>
          <w:szCs w:val="22"/>
        </w:rPr>
      </w:pPr>
      <w:proofErr w:type="gramStart"/>
      <w:r w:rsidRPr="005E2B83">
        <w:rPr>
          <w:rFonts w:ascii="Book Antiqua" w:hAnsi="Book Antiqua"/>
          <w:b/>
          <w:sz w:val="22"/>
          <w:szCs w:val="22"/>
        </w:rPr>
        <w:t>se dohodli</w:t>
      </w:r>
      <w:proofErr w:type="gramEnd"/>
      <w:r w:rsidRPr="005E2B83">
        <w:rPr>
          <w:rFonts w:ascii="Book Antiqua" w:hAnsi="Book Antiqua"/>
          <w:b/>
          <w:sz w:val="22"/>
          <w:szCs w:val="22"/>
        </w:rPr>
        <w:t xml:space="preserve"> takto:</w:t>
      </w:r>
    </w:p>
    <w:p w:rsidR="008F7690" w:rsidRPr="005E2B83" w:rsidRDefault="008F7690" w:rsidP="005826E8">
      <w:pPr>
        <w:pStyle w:val="ClanekC"/>
        <w:widowControl/>
        <w:numPr>
          <w:ilvl w:val="0"/>
          <w:numId w:val="1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PŘEDMĚT SMLOUVY „</w:t>
      </w:r>
      <w:r w:rsidR="005826E8" w:rsidRPr="005826E8">
        <w:rPr>
          <w:rFonts w:ascii="Book Antiqua" w:hAnsi="Book Antiqua"/>
          <w:caps/>
          <w:sz w:val="22"/>
          <w:szCs w:val="22"/>
        </w:rPr>
        <w:t>Zajištění adaptačních kurzů - ubytování a stravné</w:t>
      </w:r>
      <w:r w:rsidRPr="005E2B83">
        <w:rPr>
          <w:rFonts w:ascii="Book Antiqua" w:hAnsi="Book Antiqua"/>
          <w:sz w:val="22"/>
          <w:szCs w:val="22"/>
        </w:rPr>
        <w:t>“</w:t>
      </w:r>
    </w:p>
    <w:p w:rsidR="008F7690" w:rsidRPr="005E2B83" w:rsidRDefault="008F7690" w:rsidP="008F7690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8F7690" w:rsidRPr="00FF4409" w:rsidRDefault="008F7690" w:rsidP="008F7690">
      <w:pPr>
        <w:numPr>
          <w:ilvl w:val="1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 w:cs="Calibri"/>
          <w:sz w:val="22"/>
          <w:szCs w:val="22"/>
        </w:rPr>
        <w:t xml:space="preserve">Předmětem této smlouvy je závazek poskytovatele zajistit pro objednatele ubytovací a stravovací služby pro účastníky adaptačních kurzů – Já a okolí po 3 turnusech, Já a volný čas po 3 turnusech, Já a životní prostředí po 3 turnusech a Já a finance po 3 turnusech, kdy každý z turnusů čítá 49 účastníků, které jsou součástí projektu </w:t>
      </w:r>
      <w:r w:rsidRPr="005E2B83">
        <w:rPr>
          <w:rFonts w:ascii="Book Antiqua" w:hAnsi="Book Antiqua" w:cs="Calibri"/>
          <w:sz w:val="22"/>
          <w:szCs w:val="22"/>
        </w:rPr>
        <w:lastRenderedPageBreak/>
        <w:t xml:space="preserve">objednatele </w:t>
      </w:r>
      <w:proofErr w:type="spellStart"/>
      <w:r w:rsidRPr="005E2B83">
        <w:rPr>
          <w:rFonts w:ascii="Book Antiqua" w:hAnsi="Book Antiqua" w:cs="Calibri"/>
          <w:sz w:val="22"/>
          <w:szCs w:val="22"/>
        </w:rPr>
        <w:t>reg</w:t>
      </w:r>
      <w:proofErr w:type="spellEnd"/>
      <w:r w:rsidRPr="005E2B83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proofErr w:type="gramStart"/>
      <w:r w:rsidRPr="005E2B83">
        <w:rPr>
          <w:rFonts w:ascii="Book Antiqua" w:hAnsi="Book Antiqua" w:cs="Calibri"/>
          <w:sz w:val="22"/>
          <w:szCs w:val="22"/>
        </w:rPr>
        <w:t>číslo</w:t>
      </w:r>
      <w:proofErr w:type="gramEnd"/>
      <w:r w:rsidRPr="005E2B83">
        <w:rPr>
          <w:rFonts w:ascii="Book Antiqua" w:hAnsi="Book Antiqua" w:cs="Calibri"/>
          <w:sz w:val="22"/>
          <w:szCs w:val="22"/>
        </w:rPr>
        <w:t xml:space="preserve"> CZ.1.071.2.35/01.0015 Operačního programu Vzdělávání pro Konkurenceschopnost (dále jen „služby“) a závazek objednatele poskytnout </w:t>
      </w:r>
      <w:r w:rsidRPr="00FF4409">
        <w:rPr>
          <w:rFonts w:ascii="Book Antiqua" w:hAnsi="Book Antiqua" w:cs="Calibri"/>
          <w:sz w:val="22"/>
          <w:szCs w:val="22"/>
        </w:rPr>
        <w:t xml:space="preserve">zhotoviteli všechny potřebné informace pro poskytnutí těchto služeb a zaplatit za ně cenu sjednanou v této smlouvě. </w:t>
      </w:r>
    </w:p>
    <w:p w:rsidR="00D7690B" w:rsidRPr="00FF4409" w:rsidRDefault="00D7690B" w:rsidP="008F7690">
      <w:pPr>
        <w:numPr>
          <w:ilvl w:val="1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FF4409">
        <w:rPr>
          <w:rFonts w:ascii="Book Antiqua" w:hAnsi="Book Antiqua" w:cs="Calibri"/>
          <w:sz w:val="22"/>
          <w:szCs w:val="22"/>
        </w:rPr>
        <w:t>Poskytovatel zajistí zajištění:</w:t>
      </w:r>
    </w:p>
    <w:p w:rsidR="00BC4D4E" w:rsidRPr="00FF4409" w:rsidRDefault="00BC4D4E" w:rsidP="00BC4D4E">
      <w:pPr>
        <w:pStyle w:val="Odstavecseseznamem"/>
        <w:numPr>
          <w:ilvl w:val="2"/>
          <w:numId w:val="11"/>
        </w:numPr>
        <w:spacing w:before="100" w:after="220"/>
        <w:jc w:val="both"/>
        <w:rPr>
          <w:rFonts w:ascii="Book Antiqua" w:hAnsi="Book Antiqua" w:cs="Arial"/>
          <w:sz w:val="22"/>
          <w:szCs w:val="22"/>
        </w:rPr>
      </w:pPr>
      <w:r w:rsidRPr="00FF4409">
        <w:rPr>
          <w:rFonts w:ascii="Book Antiqua" w:hAnsi="Book Antiqua" w:cs="Arial"/>
          <w:sz w:val="22"/>
          <w:szCs w:val="22"/>
        </w:rPr>
        <w:t>stravovacích služeb v podobě 7 jídel denně, tj. 1x snídaně, 1x oběd, 1x večeře a 4x svačiny, a zajištění pitného režimu v průběhu dne;</w:t>
      </w:r>
    </w:p>
    <w:p w:rsidR="00BC4D4E" w:rsidRPr="00FF4409" w:rsidRDefault="00BC4D4E" w:rsidP="00BC4D4E">
      <w:pPr>
        <w:pStyle w:val="Odstavecseseznamem"/>
        <w:numPr>
          <w:ilvl w:val="2"/>
          <w:numId w:val="11"/>
        </w:numPr>
        <w:spacing w:before="100" w:after="220"/>
        <w:jc w:val="both"/>
        <w:rPr>
          <w:rFonts w:ascii="Book Antiqua" w:hAnsi="Book Antiqua" w:cs="Arial"/>
          <w:sz w:val="22"/>
          <w:szCs w:val="22"/>
        </w:rPr>
      </w:pPr>
      <w:r w:rsidRPr="00FF4409">
        <w:rPr>
          <w:rFonts w:ascii="Book Antiqua" w:hAnsi="Book Antiqua" w:cs="Arial"/>
          <w:sz w:val="22"/>
          <w:szCs w:val="22"/>
        </w:rPr>
        <w:t>místnost určená pro stravování musí mít kapacitu min. pro 40 žáků ve věku od 15 do 20 let se speciálními vzdělávacími potřebami a 9 dospělých instruktorů adaptačních kurzů, tato místnost musí být též vytápěna</w:t>
      </w:r>
    </w:p>
    <w:p w:rsidR="00BC4D4E" w:rsidRPr="00FF4409" w:rsidRDefault="00BC4D4E" w:rsidP="00BC4D4E">
      <w:pPr>
        <w:pStyle w:val="Odstavecseseznamem"/>
        <w:numPr>
          <w:ilvl w:val="2"/>
          <w:numId w:val="11"/>
        </w:numPr>
        <w:spacing w:before="100" w:after="220"/>
        <w:jc w:val="both"/>
        <w:rPr>
          <w:rFonts w:ascii="Book Antiqua" w:hAnsi="Book Antiqua" w:cs="Arial"/>
          <w:sz w:val="22"/>
          <w:szCs w:val="22"/>
        </w:rPr>
      </w:pPr>
      <w:r w:rsidRPr="00FF4409">
        <w:rPr>
          <w:rFonts w:ascii="Book Antiqua" w:hAnsi="Book Antiqua" w:cs="Arial"/>
          <w:sz w:val="22"/>
          <w:szCs w:val="22"/>
        </w:rPr>
        <w:t>budova, kde budou účastníci Adaptačního kurzu ubytováni (tedy 40 žáků ve věku od 15 do 20 let se speciálními vzdělávacími potřebami a 9 dospělých instruktorů adaptačních kurzů) a která musí být součástí areálu dodavatele, kde se budou odehrávat Adaptační kurzy, musí obsahovat sociální zařízení, sprchy s teplou vodou a prostory v této budově musí být vytápěny;</w:t>
      </w:r>
    </w:p>
    <w:p w:rsidR="00BC4D4E" w:rsidRPr="00FF4409" w:rsidRDefault="00BC4D4E" w:rsidP="00BC4D4E">
      <w:pPr>
        <w:pStyle w:val="Odstavecseseznamem"/>
        <w:numPr>
          <w:ilvl w:val="2"/>
          <w:numId w:val="11"/>
        </w:numPr>
        <w:spacing w:before="100" w:after="220"/>
        <w:jc w:val="both"/>
        <w:rPr>
          <w:rFonts w:ascii="Book Antiqua" w:hAnsi="Book Antiqua" w:cs="Arial"/>
          <w:sz w:val="22"/>
          <w:szCs w:val="22"/>
        </w:rPr>
      </w:pPr>
      <w:r w:rsidRPr="00FF4409">
        <w:rPr>
          <w:rFonts w:ascii="Book Antiqua" w:hAnsi="Book Antiqua" w:cs="Arial"/>
          <w:sz w:val="22"/>
          <w:szCs w:val="22"/>
        </w:rPr>
        <w:t>areál, kde se budou odehrávat Ada</w:t>
      </w:r>
      <w:r w:rsidR="005072CA">
        <w:rPr>
          <w:rFonts w:ascii="Book Antiqua" w:hAnsi="Book Antiqua" w:cs="Arial"/>
          <w:sz w:val="22"/>
          <w:szCs w:val="22"/>
        </w:rPr>
        <w:t>ptační kurzy, musí být</w:t>
      </w:r>
      <w:r w:rsidRPr="00FF4409">
        <w:rPr>
          <w:rFonts w:ascii="Book Antiqua" w:hAnsi="Book Antiqua" w:cs="Arial"/>
          <w:sz w:val="22"/>
          <w:szCs w:val="22"/>
        </w:rPr>
        <w:t xml:space="preserve"> oplocen.</w:t>
      </w:r>
    </w:p>
    <w:p w:rsidR="00BC4D4E" w:rsidRPr="00FF4409" w:rsidRDefault="00BC4D4E" w:rsidP="00BC4D4E">
      <w:pPr>
        <w:pStyle w:val="Odstavecseseznamem"/>
        <w:numPr>
          <w:ilvl w:val="2"/>
          <w:numId w:val="11"/>
        </w:numPr>
        <w:spacing w:before="100" w:after="220"/>
        <w:jc w:val="both"/>
        <w:rPr>
          <w:rFonts w:ascii="Book Antiqua" w:hAnsi="Book Antiqua" w:cs="Arial"/>
          <w:sz w:val="22"/>
          <w:szCs w:val="22"/>
        </w:rPr>
      </w:pPr>
      <w:r w:rsidRPr="00FF4409">
        <w:rPr>
          <w:rFonts w:ascii="Book Antiqua" w:hAnsi="Book Antiqua" w:cs="Arial"/>
          <w:sz w:val="22"/>
          <w:szCs w:val="22"/>
        </w:rPr>
        <w:t>areál, kde se budou odehrávat Adaptační kurzy, musí obsahovat parkoviště pro min. 5 osobních automobilů a min. 1 autobus;</w:t>
      </w:r>
    </w:p>
    <w:p w:rsidR="00BC4D4E" w:rsidRPr="00FF4409" w:rsidRDefault="00BC4D4E" w:rsidP="00BC4D4E">
      <w:pPr>
        <w:pStyle w:val="Odstavecseseznamem"/>
        <w:numPr>
          <w:ilvl w:val="2"/>
          <w:numId w:val="11"/>
        </w:numPr>
        <w:spacing w:before="100" w:after="220"/>
        <w:jc w:val="both"/>
        <w:rPr>
          <w:rFonts w:ascii="Book Antiqua" w:hAnsi="Book Antiqua" w:cs="Arial"/>
          <w:sz w:val="22"/>
          <w:szCs w:val="22"/>
        </w:rPr>
      </w:pPr>
      <w:r w:rsidRPr="00FF4409">
        <w:rPr>
          <w:rFonts w:ascii="Book Antiqua" w:hAnsi="Book Antiqua" w:cs="Arial"/>
          <w:sz w:val="22"/>
          <w:szCs w:val="22"/>
        </w:rPr>
        <w:t>areál, kde se budou odehrávat Adaptační kurzy, musí obsahovat společenskou místnost minimálně pro společnou činnost 40 žáků ve věku od 15 do 20 let se speciálními vzdělávacími potřebami a 9 dospělých instruktorů adaptačních kurzů, tato společenská místnost musí být vytápěna;</w:t>
      </w:r>
    </w:p>
    <w:p w:rsidR="00BC4D4E" w:rsidRPr="00FF4409" w:rsidRDefault="00BC4D4E" w:rsidP="00BC4D4E">
      <w:pPr>
        <w:pStyle w:val="Odstavecseseznamem"/>
        <w:numPr>
          <w:ilvl w:val="2"/>
          <w:numId w:val="11"/>
        </w:numPr>
        <w:spacing w:before="100" w:after="220"/>
        <w:jc w:val="both"/>
        <w:rPr>
          <w:rFonts w:ascii="Book Antiqua" w:hAnsi="Book Antiqua" w:cs="Arial"/>
          <w:sz w:val="22"/>
          <w:szCs w:val="22"/>
        </w:rPr>
      </w:pPr>
      <w:r w:rsidRPr="00FF4409">
        <w:rPr>
          <w:rFonts w:ascii="Book Antiqua" w:eastAsia="Calibri" w:hAnsi="Book Antiqua" w:cs="Arial"/>
          <w:sz w:val="22"/>
          <w:szCs w:val="22"/>
          <w:lang w:eastAsia="en-US"/>
        </w:rPr>
        <w:t>areál, kde se budou odehrávat Adaptační kurzy, musí být v době Adaptačních kurzů uklizený, čistý a souvislá travní plocha areálu musí být strojně posekaná</w:t>
      </w:r>
      <w:r w:rsidRPr="00FF4409">
        <w:rPr>
          <w:rFonts w:ascii="Book Antiqua" w:hAnsi="Book Antiqua" w:cs="Arial"/>
          <w:sz w:val="22"/>
          <w:szCs w:val="22"/>
        </w:rPr>
        <w:t>;</w:t>
      </w:r>
    </w:p>
    <w:p w:rsidR="00BC4D4E" w:rsidRPr="00FF4409" w:rsidRDefault="00BC4D4E" w:rsidP="00BC4D4E">
      <w:pPr>
        <w:pStyle w:val="Odstavecseseznamem"/>
        <w:numPr>
          <w:ilvl w:val="2"/>
          <w:numId w:val="11"/>
        </w:numPr>
        <w:spacing w:before="100" w:after="220"/>
        <w:jc w:val="both"/>
        <w:rPr>
          <w:rFonts w:ascii="Book Antiqua" w:hAnsi="Book Antiqua" w:cs="Arial"/>
          <w:sz w:val="22"/>
          <w:szCs w:val="22"/>
        </w:rPr>
      </w:pPr>
      <w:r w:rsidRPr="00FF4409">
        <w:rPr>
          <w:rFonts w:ascii="Book Antiqua" w:hAnsi="Book Antiqua" w:cs="Arial"/>
          <w:sz w:val="22"/>
          <w:szCs w:val="22"/>
        </w:rPr>
        <w:t>ve společenské místnosti pro 49 účastníků Adaptačních kurzů bude k dispozici barevná televize o min. úhlopříčce 80 cm, přehrávač VHS, CD, DVD, dataprojektor s plátnem nebo jinou projekční plochou.</w:t>
      </w:r>
    </w:p>
    <w:p w:rsidR="00BC4D4E" w:rsidRPr="00FF4409" w:rsidRDefault="00BC4D4E" w:rsidP="00BC4D4E">
      <w:pPr>
        <w:pStyle w:val="Odstavecseseznamem"/>
        <w:numPr>
          <w:ilvl w:val="2"/>
          <w:numId w:val="11"/>
        </w:numPr>
        <w:spacing w:before="100" w:after="220"/>
        <w:jc w:val="both"/>
        <w:rPr>
          <w:rFonts w:ascii="Book Antiqua" w:hAnsi="Book Antiqua" w:cs="Arial"/>
          <w:sz w:val="22"/>
          <w:szCs w:val="22"/>
        </w:rPr>
      </w:pPr>
      <w:r w:rsidRPr="00FF4409">
        <w:rPr>
          <w:rFonts w:ascii="Book Antiqua" w:eastAsia="Calibri" w:hAnsi="Book Antiqua" w:cs="Arial"/>
          <w:sz w:val="22"/>
          <w:szCs w:val="22"/>
          <w:lang w:eastAsia="en-US"/>
        </w:rPr>
        <w:t xml:space="preserve">areál, kde se budou odehrávat Adaptační kurzy, musí alespoň obsahovat: </w:t>
      </w:r>
    </w:p>
    <w:p w:rsidR="00BC4D4E" w:rsidRPr="00BC4D4E" w:rsidRDefault="00BC4D4E" w:rsidP="00BC4D4E">
      <w:pPr>
        <w:numPr>
          <w:ilvl w:val="0"/>
          <w:numId w:val="8"/>
        </w:numPr>
        <w:spacing w:before="100" w:after="220"/>
        <w:ind w:left="2552" w:hanging="567"/>
        <w:contextualSpacing/>
        <w:jc w:val="both"/>
        <w:rPr>
          <w:rFonts w:ascii="Book Antiqua" w:hAnsi="Book Antiqua" w:cs="Arial"/>
          <w:sz w:val="22"/>
          <w:szCs w:val="22"/>
        </w:rPr>
      </w:pPr>
      <w:r w:rsidRPr="00BC4D4E">
        <w:rPr>
          <w:rFonts w:ascii="Book Antiqua" w:hAnsi="Book Antiqua" w:cs="Arial"/>
          <w:sz w:val="22"/>
          <w:szCs w:val="22"/>
        </w:rPr>
        <w:t xml:space="preserve">1 fotbalové hřiště, s rovným travnatým povrchem o minimálních rozměrech 15 m na délku a 8 m na šířku, se 2 protilehlými brankami o min. rozměrech 2,5 m na šířku a 1,2 m na výšku  </w:t>
      </w:r>
    </w:p>
    <w:p w:rsidR="00BC4D4E" w:rsidRPr="00BC4D4E" w:rsidRDefault="00BC4D4E" w:rsidP="00BC4D4E">
      <w:pPr>
        <w:numPr>
          <w:ilvl w:val="0"/>
          <w:numId w:val="8"/>
        </w:numPr>
        <w:spacing w:before="100" w:after="220"/>
        <w:ind w:left="2552" w:hanging="567"/>
        <w:contextualSpacing/>
        <w:jc w:val="both"/>
        <w:rPr>
          <w:rFonts w:ascii="Book Antiqua" w:hAnsi="Book Antiqua" w:cs="Arial"/>
          <w:sz w:val="22"/>
          <w:szCs w:val="22"/>
        </w:rPr>
      </w:pPr>
      <w:r w:rsidRPr="00BC4D4E">
        <w:rPr>
          <w:rFonts w:ascii="Book Antiqua" w:hAnsi="Book Antiqua" w:cs="Arial"/>
          <w:sz w:val="22"/>
          <w:szCs w:val="22"/>
        </w:rPr>
        <w:t xml:space="preserve">1 volejbalové hřiště o min. rozměrech 18 m na délku a 8 m na šířku s nastavitelnou 1 m vysokou sítí s horní hranou ve výšce alespoň 2,24 m  </w:t>
      </w:r>
    </w:p>
    <w:p w:rsidR="00BC4D4E" w:rsidRPr="00BC4D4E" w:rsidRDefault="00BC4D4E" w:rsidP="00BC4D4E">
      <w:pPr>
        <w:numPr>
          <w:ilvl w:val="0"/>
          <w:numId w:val="8"/>
        </w:numPr>
        <w:spacing w:before="100" w:after="220"/>
        <w:ind w:left="2552" w:hanging="567"/>
        <w:contextualSpacing/>
        <w:jc w:val="both"/>
        <w:rPr>
          <w:rFonts w:ascii="Book Antiqua" w:hAnsi="Book Antiqua" w:cs="Arial"/>
          <w:sz w:val="22"/>
          <w:szCs w:val="22"/>
        </w:rPr>
      </w:pPr>
      <w:r w:rsidRPr="00BC4D4E">
        <w:rPr>
          <w:rFonts w:ascii="Book Antiqua" w:hAnsi="Book Antiqua" w:cs="Arial"/>
          <w:sz w:val="22"/>
          <w:szCs w:val="22"/>
        </w:rPr>
        <w:t>stolní tenis o rozměrech 270 cm +-25 cm na délku a 150 cm +-15 cm na šířku se sítí ve výšce 15 cm +-1cm, stůl musí být ve výšce 76 cm +- 10 cm</w:t>
      </w:r>
    </w:p>
    <w:p w:rsidR="00BC4D4E" w:rsidRPr="00BC4D4E" w:rsidRDefault="00BC4D4E" w:rsidP="00BC4D4E">
      <w:pPr>
        <w:numPr>
          <w:ilvl w:val="0"/>
          <w:numId w:val="8"/>
        </w:numPr>
        <w:spacing w:before="100" w:after="220"/>
        <w:ind w:left="2552" w:hanging="567"/>
        <w:contextualSpacing/>
        <w:jc w:val="both"/>
        <w:rPr>
          <w:rFonts w:ascii="Book Antiqua" w:hAnsi="Book Antiqua" w:cs="Arial"/>
          <w:sz w:val="22"/>
          <w:szCs w:val="22"/>
        </w:rPr>
      </w:pPr>
      <w:r w:rsidRPr="00BC4D4E">
        <w:rPr>
          <w:rFonts w:ascii="Book Antiqua" w:hAnsi="Book Antiqua" w:cs="Arial"/>
          <w:sz w:val="22"/>
          <w:szCs w:val="22"/>
        </w:rPr>
        <w:t xml:space="preserve">volné prostory pro venkovní hry a to odbíjená, přehazovaná, nohejbal, badminton, </w:t>
      </w:r>
      <w:proofErr w:type="spellStart"/>
      <w:r w:rsidRPr="00BC4D4E">
        <w:rPr>
          <w:rFonts w:ascii="Book Antiqua" w:hAnsi="Book Antiqua" w:cs="Arial"/>
          <w:sz w:val="22"/>
          <w:szCs w:val="22"/>
        </w:rPr>
        <w:t>ringo</w:t>
      </w:r>
      <w:proofErr w:type="spellEnd"/>
      <w:r w:rsidRPr="00BC4D4E">
        <w:rPr>
          <w:rFonts w:ascii="Book Antiqua" w:hAnsi="Book Antiqua" w:cs="Arial"/>
          <w:sz w:val="22"/>
          <w:szCs w:val="22"/>
        </w:rPr>
        <w:t>, tenis, malá kopaná, florbal</w:t>
      </w:r>
    </w:p>
    <w:p w:rsidR="00BC4D4E" w:rsidRPr="00BC4D4E" w:rsidRDefault="00BC4D4E" w:rsidP="00BC4D4E">
      <w:pPr>
        <w:numPr>
          <w:ilvl w:val="0"/>
          <w:numId w:val="8"/>
        </w:numPr>
        <w:spacing w:before="100" w:after="220"/>
        <w:ind w:left="2552" w:hanging="567"/>
        <w:contextualSpacing/>
        <w:jc w:val="both"/>
        <w:rPr>
          <w:rFonts w:ascii="Book Antiqua" w:hAnsi="Book Antiqua" w:cs="Arial"/>
          <w:sz w:val="22"/>
          <w:szCs w:val="22"/>
        </w:rPr>
      </w:pPr>
      <w:r w:rsidRPr="00BC4D4E">
        <w:rPr>
          <w:rFonts w:ascii="Book Antiqua" w:hAnsi="Book Antiqua" w:cs="Arial"/>
          <w:sz w:val="22"/>
          <w:szCs w:val="22"/>
        </w:rPr>
        <w:t>okolí vhodné pro orientační a branně sportovní hry</w:t>
      </w:r>
    </w:p>
    <w:p w:rsidR="00BC4D4E" w:rsidRPr="00BC4D4E" w:rsidRDefault="00BC4D4E" w:rsidP="00BC4D4E">
      <w:pPr>
        <w:numPr>
          <w:ilvl w:val="0"/>
          <w:numId w:val="8"/>
        </w:numPr>
        <w:spacing w:before="100" w:after="220"/>
        <w:ind w:left="2552" w:hanging="567"/>
        <w:contextualSpacing/>
        <w:jc w:val="both"/>
        <w:rPr>
          <w:rFonts w:ascii="Book Antiqua" w:hAnsi="Book Antiqua" w:cs="Arial"/>
          <w:sz w:val="22"/>
          <w:szCs w:val="22"/>
        </w:rPr>
      </w:pPr>
      <w:r w:rsidRPr="00BC4D4E">
        <w:rPr>
          <w:rFonts w:ascii="Book Antiqua" w:hAnsi="Book Antiqua" w:cs="Arial"/>
          <w:sz w:val="22"/>
          <w:szCs w:val="22"/>
        </w:rPr>
        <w:t>ohniště pro 49 účastníků adaptačních kurzů,</w:t>
      </w:r>
    </w:p>
    <w:p w:rsidR="00BC4D4E" w:rsidRPr="00BC4D4E" w:rsidRDefault="00BC4D4E" w:rsidP="00BC4D4E">
      <w:pPr>
        <w:numPr>
          <w:ilvl w:val="0"/>
          <w:numId w:val="8"/>
        </w:numPr>
        <w:spacing w:before="100" w:after="220"/>
        <w:ind w:left="2552" w:hanging="567"/>
        <w:contextualSpacing/>
        <w:jc w:val="both"/>
        <w:rPr>
          <w:rFonts w:ascii="Book Antiqua" w:hAnsi="Book Antiqua" w:cs="Arial"/>
          <w:sz w:val="22"/>
          <w:szCs w:val="22"/>
        </w:rPr>
      </w:pPr>
      <w:r w:rsidRPr="00BC4D4E">
        <w:rPr>
          <w:rFonts w:ascii="Book Antiqua" w:hAnsi="Book Antiqua" w:cs="Arial"/>
          <w:sz w:val="22"/>
          <w:szCs w:val="22"/>
        </w:rPr>
        <w:lastRenderedPageBreak/>
        <w:t>zastřešené venkovní posezení pro 49 osob</w:t>
      </w:r>
    </w:p>
    <w:p w:rsidR="00BC4D4E" w:rsidRPr="00BC4D4E" w:rsidRDefault="00BC4D4E" w:rsidP="00BC4D4E">
      <w:pPr>
        <w:spacing w:before="100"/>
        <w:ind w:left="2552"/>
        <w:contextualSpacing/>
        <w:jc w:val="both"/>
        <w:rPr>
          <w:rFonts w:ascii="Book Antiqua" w:hAnsi="Book Antiqua" w:cs="Arial"/>
          <w:sz w:val="22"/>
          <w:szCs w:val="22"/>
        </w:rPr>
      </w:pPr>
    </w:p>
    <w:p w:rsidR="00BC4D4E" w:rsidRPr="00BC4D4E" w:rsidRDefault="00BC4D4E" w:rsidP="00BC4D4E">
      <w:pPr>
        <w:spacing w:before="100" w:after="220"/>
        <w:ind w:left="567"/>
        <w:jc w:val="both"/>
        <w:rPr>
          <w:rFonts w:ascii="Book Antiqua" w:eastAsia="Calibri" w:hAnsi="Book Antiqua" w:cs="Arial"/>
          <w:sz w:val="22"/>
          <w:szCs w:val="22"/>
          <w:lang w:eastAsia="en-US"/>
        </w:rPr>
      </w:pPr>
      <w:r w:rsidRPr="00BC4D4E">
        <w:rPr>
          <w:rFonts w:ascii="Book Antiqua" w:eastAsia="Calibri" w:hAnsi="Book Antiqua" w:cs="Arial"/>
          <w:sz w:val="22"/>
          <w:szCs w:val="22"/>
          <w:lang w:eastAsia="en-US"/>
        </w:rPr>
        <w:t>Uchazeč je povinen se před podáním nabídky seznámit se všemi obecně závaznými právními předpisy a platnými normami, které se vztahují k předmětu plnění této veřejné zakázky. Zadavatel tímto upozorňuje, že účastníky Adaptačních kurzů budou žáci ve věku od 15 do 20 let se speciálními vzdělávacími potřebami.</w:t>
      </w:r>
    </w:p>
    <w:p w:rsidR="008F7690" w:rsidRPr="00FF4409" w:rsidRDefault="008F7690" w:rsidP="008F7690">
      <w:pPr>
        <w:jc w:val="both"/>
        <w:rPr>
          <w:rFonts w:ascii="Book Antiqua" w:hAnsi="Book Antiqua"/>
          <w:sz w:val="22"/>
          <w:szCs w:val="22"/>
        </w:rPr>
      </w:pPr>
    </w:p>
    <w:p w:rsidR="008F7690" w:rsidRPr="00FF4409" w:rsidRDefault="008F7690" w:rsidP="008F7690">
      <w:pPr>
        <w:keepNext/>
        <w:numPr>
          <w:ilvl w:val="0"/>
          <w:numId w:val="2"/>
        </w:numPr>
        <w:spacing w:before="240" w:after="60"/>
        <w:outlineLvl w:val="0"/>
        <w:rPr>
          <w:rFonts w:ascii="Book Antiqua" w:hAnsi="Book Antiqua"/>
          <w:b/>
          <w:caps/>
          <w:sz w:val="22"/>
          <w:szCs w:val="22"/>
          <w:lang w:eastAsia="ar-SA"/>
        </w:rPr>
      </w:pPr>
      <w:r w:rsidRPr="00FF4409">
        <w:rPr>
          <w:rFonts w:ascii="Book Antiqua" w:hAnsi="Book Antiqua"/>
          <w:b/>
          <w:caps/>
          <w:sz w:val="22"/>
          <w:szCs w:val="22"/>
          <w:lang w:eastAsia="ar-SA"/>
        </w:rPr>
        <w:t>DOBA A MÍSTO PLNĚNÍ</w:t>
      </w:r>
    </w:p>
    <w:p w:rsidR="008F7690" w:rsidRPr="005E2B83" w:rsidRDefault="008F7690" w:rsidP="008F7690">
      <w:pPr>
        <w:tabs>
          <w:tab w:val="left" w:pos="5245"/>
        </w:tabs>
        <w:suppressAutoHyphens/>
        <w:jc w:val="both"/>
        <w:rPr>
          <w:rFonts w:ascii="Book Antiqua" w:hAnsi="Book Antiqua"/>
          <w:b/>
          <w:sz w:val="22"/>
          <w:szCs w:val="22"/>
          <w:lang w:eastAsia="ar-SA"/>
        </w:rPr>
      </w:pPr>
    </w:p>
    <w:p w:rsidR="008F7690" w:rsidRPr="005E2B83" w:rsidRDefault="008F7690" w:rsidP="008F7690">
      <w:pPr>
        <w:numPr>
          <w:ilvl w:val="1"/>
          <w:numId w:val="2"/>
        </w:numPr>
        <w:jc w:val="both"/>
        <w:rPr>
          <w:rFonts w:ascii="Book Antiqua" w:hAnsi="Book Antiqua" w:cs="Calibri"/>
          <w:sz w:val="22"/>
          <w:szCs w:val="22"/>
        </w:rPr>
      </w:pPr>
      <w:r w:rsidRPr="005E2B83">
        <w:rPr>
          <w:rFonts w:ascii="Book Antiqua" w:hAnsi="Book Antiqua" w:cs="Calibri"/>
          <w:sz w:val="22"/>
          <w:szCs w:val="22"/>
        </w:rPr>
        <w:t xml:space="preserve">Služby budou poskytnuty v souladu se zadávací dokumentací a dohodou mezi příjemcem a poskytovatelem v termínech: </w:t>
      </w:r>
    </w:p>
    <w:p w:rsidR="00D7690B" w:rsidRPr="00CE6667" w:rsidRDefault="00D7690B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1 - Adaptační kurz - Já a okolí</w:t>
      </w:r>
      <w:r w:rsidR="000C639B" w:rsidRPr="00CE6667">
        <w:rPr>
          <w:rFonts w:ascii="Book Antiqua" w:hAnsi="Book Antiqua" w:cs="Calibri"/>
          <w:sz w:val="22"/>
          <w:szCs w:val="22"/>
        </w:rPr>
        <w:t xml:space="preserve">-od 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rána pondělí </w:t>
      </w:r>
      <w:r w:rsidR="003C6483" w:rsidRPr="00CE6667">
        <w:rPr>
          <w:rFonts w:ascii="Book Antiqua" w:hAnsi="Book Antiqua" w:cs="Calibri"/>
          <w:sz w:val="22"/>
          <w:szCs w:val="22"/>
          <w:highlight w:val="yellow"/>
        </w:rPr>
        <w:t>(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 xml:space="preserve">den a </w:t>
      </w:r>
      <w:r w:rsidR="003C6483" w:rsidRPr="00CE6667">
        <w:rPr>
          <w:rFonts w:ascii="Book Antiqua" w:hAnsi="Book Antiqua" w:cs="Calibri"/>
          <w:sz w:val="22"/>
          <w:szCs w:val="22"/>
          <w:highlight w:val="yellow"/>
        </w:rPr>
        <w:t>měsíc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 xml:space="preserve">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2012</w:t>
      </w:r>
      <w:r w:rsidR="000C639B" w:rsidRPr="00CE6667">
        <w:rPr>
          <w:rFonts w:ascii="Book Antiqua" w:hAnsi="Book Antiqua" w:cs="Calibri"/>
          <w:sz w:val="22"/>
          <w:szCs w:val="22"/>
        </w:rPr>
        <w:t xml:space="preserve"> do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2012</w:t>
      </w:r>
    </w:p>
    <w:p w:rsidR="003C6483" w:rsidRPr="00CE6667" w:rsidRDefault="008F7690" w:rsidP="00A20AD8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2 - Adaptační kurz - Já a okolí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2012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2012</w:t>
      </w:r>
    </w:p>
    <w:p w:rsidR="00A20AD8" w:rsidRPr="00CE6667" w:rsidRDefault="008F7690" w:rsidP="00A20AD8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3 - Adaptační kurz - Já a okolí</w:t>
      </w:r>
      <w:r w:rsidR="000C639B" w:rsidRPr="00CE6667">
        <w:rPr>
          <w:rFonts w:ascii="Book Antiqua" w:hAnsi="Book Antiqua" w:cs="Calibri"/>
          <w:sz w:val="22"/>
          <w:szCs w:val="22"/>
        </w:rPr>
        <w:t xml:space="preserve">- 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2012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2012</w:t>
      </w: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1 - Já a volný čas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 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2013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2013</w:t>
      </w: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2 - Já a volný čas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 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2013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2013</w:t>
      </w: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3 - Já a volný čas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2013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2013</w:t>
      </w: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1 - Já a životní prostředí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2013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2013</w:t>
      </w: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2 - Já a životní prostředí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2013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2013</w:t>
      </w: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3 - Já a životní prostředí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2013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2013</w:t>
      </w: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1 - Já a finance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2013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2013</w:t>
      </w: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2 - Já a finance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2013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2013</w:t>
      </w:r>
    </w:p>
    <w:p w:rsidR="008F7690" w:rsidRPr="00CE6667" w:rsidRDefault="008F7690" w:rsidP="008F7690">
      <w:pPr>
        <w:ind w:left="792"/>
        <w:jc w:val="both"/>
        <w:rPr>
          <w:rFonts w:ascii="Book Antiqua" w:hAnsi="Book Antiqua" w:cs="Calibri"/>
          <w:sz w:val="22"/>
          <w:szCs w:val="22"/>
        </w:rPr>
      </w:pPr>
      <w:r w:rsidRPr="00CE6667">
        <w:rPr>
          <w:rFonts w:ascii="Book Antiqua" w:hAnsi="Book Antiqua" w:cs="Calibri"/>
          <w:b/>
          <w:sz w:val="22"/>
          <w:szCs w:val="22"/>
        </w:rPr>
        <w:t>Turnus č. 3 - Já a finance</w:t>
      </w:r>
      <w:r w:rsidR="00A20AD8" w:rsidRPr="00CE6667">
        <w:rPr>
          <w:rFonts w:ascii="Book Antiqua" w:hAnsi="Book Antiqua" w:cs="Calibri"/>
          <w:sz w:val="22"/>
          <w:szCs w:val="22"/>
        </w:rPr>
        <w:t xml:space="preserve"> -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od rána pondělí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 xml:space="preserve">2013 do pátku večera 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>(den a měsíc doplní uchazeč)</w:t>
      </w:r>
      <w:r w:rsidR="003C6483" w:rsidRPr="00CE6667">
        <w:rPr>
          <w:rFonts w:ascii="Book Antiqua" w:hAnsi="Book Antiqua" w:cs="Calibri"/>
          <w:sz w:val="22"/>
          <w:szCs w:val="22"/>
        </w:rPr>
        <w:t>.</w:t>
      </w:r>
      <w:r w:rsidR="00831F65">
        <w:rPr>
          <w:rFonts w:ascii="Book Antiqua" w:hAnsi="Book Antiqua" w:cs="Calibri"/>
          <w:sz w:val="22"/>
          <w:szCs w:val="22"/>
        </w:rPr>
        <w:t xml:space="preserve"> </w:t>
      </w:r>
      <w:r w:rsidR="003C6483" w:rsidRPr="00CE6667">
        <w:rPr>
          <w:rFonts w:ascii="Book Antiqua" w:hAnsi="Book Antiqua" w:cs="Calibri"/>
          <w:sz w:val="22"/>
          <w:szCs w:val="22"/>
        </w:rPr>
        <w:t>2013</w:t>
      </w:r>
    </w:p>
    <w:p w:rsidR="008F7690" w:rsidRPr="005E2B83" w:rsidRDefault="008F7690" w:rsidP="008F7690">
      <w:pPr>
        <w:suppressAutoHyphens/>
        <w:ind w:left="448"/>
        <w:jc w:val="both"/>
        <w:rPr>
          <w:rFonts w:ascii="Book Antiqua" w:hAnsi="Book Antiqua" w:cs="Calibri"/>
          <w:sz w:val="22"/>
          <w:szCs w:val="22"/>
        </w:rPr>
      </w:pPr>
    </w:p>
    <w:p w:rsidR="008F7690" w:rsidRPr="00CE6667" w:rsidRDefault="008F7690" w:rsidP="008F7690">
      <w:pPr>
        <w:numPr>
          <w:ilvl w:val="1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 w:cs="Calibri"/>
          <w:sz w:val="22"/>
          <w:szCs w:val="22"/>
        </w:rPr>
        <w:t>Místem plnění bude</w:t>
      </w:r>
      <w:r w:rsidRPr="00CE6667">
        <w:rPr>
          <w:rFonts w:ascii="Book Antiqua" w:hAnsi="Book Antiqua" w:cs="Calibri"/>
          <w:sz w:val="22"/>
          <w:szCs w:val="22"/>
        </w:rPr>
        <w:t xml:space="preserve">: </w:t>
      </w:r>
      <w:r w:rsidRPr="00CE6667">
        <w:rPr>
          <w:rFonts w:ascii="Book Antiqua" w:hAnsi="Book Antiqua" w:cs="Calibri"/>
          <w:sz w:val="22"/>
          <w:szCs w:val="22"/>
          <w:highlight w:val="yellow"/>
        </w:rPr>
        <w:t>(název a adresa zařízení/provozovny</w:t>
      </w:r>
      <w:r w:rsidR="00CE6667" w:rsidRPr="00CE6667">
        <w:rPr>
          <w:rFonts w:ascii="Book Antiqua" w:hAnsi="Book Antiqua" w:cs="Calibri"/>
          <w:sz w:val="22"/>
          <w:szCs w:val="22"/>
          <w:highlight w:val="yellow"/>
        </w:rPr>
        <w:t xml:space="preserve"> doplní uchazeč</w:t>
      </w:r>
      <w:r w:rsidRPr="00CE6667">
        <w:rPr>
          <w:rFonts w:ascii="Book Antiqua" w:hAnsi="Book Antiqua" w:cs="Calibri"/>
          <w:sz w:val="22"/>
          <w:szCs w:val="22"/>
          <w:highlight w:val="yellow"/>
        </w:rPr>
        <w:t>)</w:t>
      </w:r>
    </w:p>
    <w:p w:rsidR="008F7690" w:rsidRPr="005E2B83" w:rsidRDefault="008F7690" w:rsidP="008F7690">
      <w:pPr>
        <w:suppressAutoHyphens/>
        <w:jc w:val="both"/>
        <w:rPr>
          <w:rFonts w:ascii="Book Antiqua" w:hAnsi="Book Antiqua"/>
          <w:i/>
          <w:sz w:val="22"/>
          <w:szCs w:val="22"/>
        </w:rPr>
      </w:pPr>
    </w:p>
    <w:p w:rsidR="008F7690" w:rsidRPr="005E2B83" w:rsidRDefault="008F7690" w:rsidP="008F7690">
      <w:pPr>
        <w:keepNext/>
        <w:numPr>
          <w:ilvl w:val="0"/>
          <w:numId w:val="2"/>
        </w:numPr>
        <w:spacing w:before="240" w:after="60"/>
        <w:outlineLvl w:val="0"/>
        <w:rPr>
          <w:rFonts w:ascii="Book Antiqua" w:hAnsi="Book Antiqua"/>
          <w:b/>
          <w:caps/>
          <w:sz w:val="22"/>
          <w:szCs w:val="22"/>
          <w:lang w:eastAsia="ar-SA"/>
        </w:rPr>
      </w:pPr>
      <w:r w:rsidRPr="005E2B83">
        <w:rPr>
          <w:rFonts w:ascii="Book Antiqua" w:hAnsi="Book Antiqua"/>
          <w:b/>
          <w:caps/>
          <w:sz w:val="22"/>
          <w:szCs w:val="22"/>
          <w:lang w:eastAsia="ar-SA"/>
        </w:rPr>
        <w:lastRenderedPageBreak/>
        <w:t>KVALITA PLNĚNÍ</w:t>
      </w:r>
    </w:p>
    <w:p w:rsidR="008F7690" w:rsidRPr="005E2B83" w:rsidRDefault="008F7690" w:rsidP="008F7690">
      <w:pPr>
        <w:keepNext/>
        <w:tabs>
          <w:tab w:val="left" w:pos="5245"/>
        </w:tabs>
        <w:suppressAutoHyphens/>
        <w:jc w:val="center"/>
        <w:outlineLvl w:val="2"/>
        <w:rPr>
          <w:rFonts w:ascii="Book Antiqua" w:hAnsi="Book Antiqua"/>
          <w:b/>
          <w:sz w:val="22"/>
          <w:szCs w:val="22"/>
          <w:lang w:eastAsia="ar-SA"/>
        </w:rPr>
      </w:pPr>
    </w:p>
    <w:p w:rsidR="008F7690" w:rsidRPr="005E2B83" w:rsidRDefault="00831F65" w:rsidP="008F7690">
      <w:pPr>
        <w:suppressAutoHyphens/>
        <w:ind w:left="708" w:hanging="3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4.1 </w:t>
      </w:r>
      <w:r w:rsidR="008F7690" w:rsidRPr="005E2B83">
        <w:rPr>
          <w:rFonts w:ascii="Book Antiqua" w:hAnsi="Book Antiqua"/>
          <w:sz w:val="22"/>
          <w:szCs w:val="22"/>
        </w:rPr>
        <w:t>Poskytovatel se zavazuje k řádnému poskytování předmětu plnění, dodržení povinnosti náležité odborné péče tak, aby bylo dosaženo cíle a účelu smlouvy.</w:t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br/>
      </w:r>
    </w:p>
    <w:p w:rsidR="008F7690" w:rsidRPr="005E2B83" w:rsidRDefault="00831F65" w:rsidP="008F7690">
      <w:pPr>
        <w:suppressAutoHyphens/>
        <w:ind w:left="708" w:hanging="3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4.2 </w:t>
      </w:r>
      <w:r w:rsidR="008F7690" w:rsidRPr="005E2B83">
        <w:rPr>
          <w:rFonts w:ascii="Book Antiqua" w:hAnsi="Book Antiqua"/>
          <w:sz w:val="22"/>
          <w:szCs w:val="22"/>
        </w:rPr>
        <w:t>Poskytovatel se zavazuje poskytovat plnění včas, dodržovat stanovené termíny, poskytovat plnění kvalitně (bez vad jakosti, množství, komplexnosti atd.) a dodržovat všechny další povinnosti stanovené v zadávací dokumentaci nebo nabídce poskytovatele.</w:t>
      </w:r>
    </w:p>
    <w:p w:rsidR="008F7690" w:rsidRPr="005E2B83" w:rsidRDefault="008F7690" w:rsidP="008F7690">
      <w:pPr>
        <w:suppressAutoHyphens/>
        <w:ind w:left="708" w:hanging="318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keepNext/>
        <w:numPr>
          <w:ilvl w:val="0"/>
          <w:numId w:val="3"/>
        </w:numPr>
        <w:spacing w:before="240" w:after="60"/>
        <w:outlineLvl w:val="0"/>
        <w:rPr>
          <w:rFonts w:ascii="Book Antiqua" w:hAnsi="Book Antiqua"/>
          <w:b/>
          <w:caps/>
          <w:sz w:val="22"/>
          <w:szCs w:val="22"/>
          <w:lang w:eastAsia="ar-SA"/>
        </w:rPr>
      </w:pPr>
      <w:r w:rsidRPr="005E2B83">
        <w:rPr>
          <w:rFonts w:ascii="Book Antiqua" w:hAnsi="Book Antiqua"/>
          <w:b/>
          <w:caps/>
          <w:sz w:val="22"/>
          <w:szCs w:val="22"/>
          <w:lang w:eastAsia="ar-SA"/>
        </w:rPr>
        <w:t>CENA A PLATEBNÍ PODMÍNKY</w:t>
      </w:r>
    </w:p>
    <w:p w:rsidR="008F7690" w:rsidRPr="005E2B83" w:rsidRDefault="008F7690" w:rsidP="008F7690">
      <w:pPr>
        <w:tabs>
          <w:tab w:val="left" w:pos="5245"/>
        </w:tabs>
        <w:suppressAutoHyphens/>
        <w:rPr>
          <w:rFonts w:ascii="Book Antiqua" w:hAnsi="Book Antiqua"/>
          <w:sz w:val="22"/>
          <w:szCs w:val="22"/>
          <w:lang w:eastAsia="ar-SA"/>
        </w:rPr>
      </w:pPr>
    </w:p>
    <w:p w:rsidR="008F7690" w:rsidRPr="005E2B83" w:rsidRDefault="008F7690" w:rsidP="005826E8">
      <w:pPr>
        <w:pStyle w:val="Odstavecseseznamem"/>
        <w:numPr>
          <w:ilvl w:val="1"/>
          <w:numId w:val="1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Příjemce se zavazuje zaplatit poskytovateli</w:t>
      </w:r>
      <w:r w:rsidR="006913AD" w:rsidRPr="005E2B83">
        <w:rPr>
          <w:rFonts w:ascii="Book Antiqua" w:hAnsi="Book Antiqua"/>
          <w:sz w:val="22"/>
          <w:szCs w:val="22"/>
        </w:rPr>
        <w:t xml:space="preserve"> za </w:t>
      </w:r>
      <w:r w:rsidR="00A20AD8" w:rsidRPr="005E2B83">
        <w:rPr>
          <w:rFonts w:ascii="Book Antiqua" w:hAnsi="Book Antiqua"/>
          <w:sz w:val="22"/>
          <w:szCs w:val="22"/>
        </w:rPr>
        <w:t>předmět smlouvy „</w:t>
      </w:r>
      <w:r w:rsidR="005826E8" w:rsidRPr="005826E8">
        <w:rPr>
          <w:rFonts w:ascii="Book Antiqua" w:hAnsi="Book Antiqua"/>
          <w:sz w:val="22"/>
          <w:szCs w:val="22"/>
        </w:rPr>
        <w:t>Zajištění adaptačních kurzů - ubytování a stravné</w:t>
      </w:r>
      <w:r w:rsidR="00A20AD8" w:rsidRPr="005E2B83">
        <w:rPr>
          <w:rFonts w:ascii="Book Antiqua" w:hAnsi="Book Antiqua"/>
          <w:sz w:val="22"/>
          <w:szCs w:val="22"/>
        </w:rPr>
        <w:t>“</w:t>
      </w:r>
      <w:r w:rsidRPr="005E2B83">
        <w:rPr>
          <w:rFonts w:ascii="Book Antiqua" w:hAnsi="Book Antiqua"/>
          <w:sz w:val="22"/>
          <w:szCs w:val="22"/>
        </w:rPr>
        <w:t xml:space="preserve"> vzájemně dohodnutou smluvní cenu ve výši:</w:t>
      </w:r>
    </w:p>
    <w:p w:rsidR="008F7690" w:rsidRDefault="008F7690" w:rsidP="008F7690">
      <w:pPr>
        <w:suppressAutoHyphens/>
        <w:jc w:val="both"/>
        <w:rPr>
          <w:rFonts w:ascii="Book Antiqua" w:hAnsi="Book Antiqu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7"/>
        <w:gridCol w:w="1848"/>
        <w:gridCol w:w="1848"/>
        <w:gridCol w:w="1967"/>
        <w:gridCol w:w="1848"/>
      </w:tblGrid>
      <w:tr w:rsidR="002501BF" w:rsidRPr="005E2B83" w:rsidTr="00FF7131">
        <w:tc>
          <w:tcPr>
            <w:tcW w:w="1777" w:type="dxa"/>
          </w:tcPr>
          <w:p w:rsidR="002501BF" w:rsidRPr="00156306" w:rsidRDefault="002501BF" w:rsidP="00156306">
            <w:pPr>
              <w:suppressAutoHyphens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Název položky</w:t>
            </w:r>
          </w:p>
        </w:tc>
        <w:tc>
          <w:tcPr>
            <w:tcW w:w="1848" w:type="dxa"/>
          </w:tcPr>
          <w:p w:rsidR="002501BF" w:rsidRPr="00156306" w:rsidRDefault="002501BF" w:rsidP="00156306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156306">
              <w:rPr>
                <w:rFonts w:ascii="Book Antiqua" w:hAnsi="Book Antiqua"/>
                <w:b/>
              </w:rPr>
              <w:t>Cena bez DPH (Kč)</w:t>
            </w:r>
          </w:p>
        </w:tc>
        <w:tc>
          <w:tcPr>
            <w:tcW w:w="1848" w:type="dxa"/>
          </w:tcPr>
          <w:p w:rsidR="002501BF" w:rsidRPr="00156306" w:rsidRDefault="002501BF" w:rsidP="00156306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156306">
              <w:rPr>
                <w:rFonts w:ascii="Book Antiqua" w:hAnsi="Book Antiqua"/>
                <w:b/>
              </w:rPr>
              <w:t>Sazba DPH v %</w:t>
            </w:r>
          </w:p>
        </w:tc>
        <w:tc>
          <w:tcPr>
            <w:tcW w:w="1967" w:type="dxa"/>
          </w:tcPr>
          <w:p w:rsidR="002501BF" w:rsidRPr="00156306" w:rsidRDefault="002501BF" w:rsidP="00156306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156306">
              <w:rPr>
                <w:rFonts w:ascii="Book Antiqua" w:hAnsi="Book Antiqua"/>
                <w:b/>
              </w:rPr>
              <w:t>DPH samostatně</w:t>
            </w:r>
          </w:p>
        </w:tc>
        <w:tc>
          <w:tcPr>
            <w:tcW w:w="1848" w:type="dxa"/>
          </w:tcPr>
          <w:p w:rsidR="002501BF" w:rsidRPr="00156306" w:rsidRDefault="002501BF" w:rsidP="00156306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156306">
              <w:rPr>
                <w:rFonts w:ascii="Book Antiqua" w:hAnsi="Book Antiqua"/>
                <w:b/>
              </w:rPr>
              <w:t>Cena včetně DPH (Kč)</w:t>
            </w:r>
          </w:p>
        </w:tc>
      </w:tr>
      <w:tr w:rsidR="002501BF" w:rsidRPr="005E2B83" w:rsidTr="00FF7131">
        <w:tc>
          <w:tcPr>
            <w:tcW w:w="1777" w:type="dxa"/>
          </w:tcPr>
          <w:p w:rsidR="002501BF" w:rsidRPr="00CE6667" w:rsidRDefault="002501BF" w:rsidP="002501BF">
            <w:pPr>
              <w:suppressAutoHyphens/>
              <w:jc w:val="center"/>
              <w:rPr>
                <w:rFonts w:ascii="Book Antiqua" w:hAnsi="Book Antiqua"/>
                <w:b/>
                <w:highlight w:val="yellow"/>
              </w:rPr>
            </w:pPr>
            <w:r w:rsidRPr="002501BF">
              <w:rPr>
                <w:rFonts w:ascii="Book Antiqua" w:hAnsi="Book Antiqua"/>
                <w:b/>
              </w:rPr>
              <w:t>Cena za 1 účastníka</w:t>
            </w:r>
            <w:r w:rsidR="0089464D">
              <w:rPr>
                <w:rFonts w:ascii="Book Antiqua" w:hAnsi="Book Antiqua"/>
                <w:b/>
              </w:rPr>
              <w:t xml:space="preserve"> </w:t>
            </w:r>
            <w:r w:rsidR="00C7581C">
              <w:rPr>
                <w:rFonts w:ascii="Book Antiqua" w:hAnsi="Book Antiqua"/>
                <w:b/>
              </w:rPr>
              <w:t>za 1 den</w:t>
            </w:r>
            <w:r>
              <w:rPr>
                <w:rFonts w:ascii="Book Antiqua" w:hAnsi="Book Antiqua"/>
                <w:b/>
              </w:rPr>
              <w:t xml:space="preserve"> Adaptačního kurzu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967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</w:tr>
      <w:tr w:rsidR="002501BF" w:rsidRPr="005E2B83" w:rsidTr="00FF7131">
        <w:tc>
          <w:tcPr>
            <w:tcW w:w="1777" w:type="dxa"/>
          </w:tcPr>
          <w:p w:rsidR="002501BF" w:rsidRPr="002501BF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Cena za 49účastníků</w:t>
            </w:r>
            <w:r w:rsidR="00C7581C">
              <w:rPr>
                <w:rFonts w:ascii="Book Antiqua" w:hAnsi="Book Antiqua"/>
                <w:b/>
              </w:rPr>
              <w:t>za 1 d</w:t>
            </w:r>
            <w:r w:rsidRPr="002501BF">
              <w:rPr>
                <w:rFonts w:ascii="Book Antiqua" w:hAnsi="Book Antiqua"/>
                <w:b/>
              </w:rPr>
              <w:t>e</w:t>
            </w:r>
            <w:r w:rsidR="00C7581C">
              <w:rPr>
                <w:rFonts w:ascii="Book Antiqua" w:hAnsi="Book Antiqua"/>
                <w:b/>
              </w:rPr>
              <w:t>n</w:t>
            </w:r>
            <w:r w:rsidRPr="002501BF">
              <w:rPr>
                <w:rFonts w:ascii="Book Antiqua" w:hAnsi="Book Antiqua"/>
                <w:b/>
              </w:rPr>
              <w:t xml:space="preserve"> Adaptačního kurzu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967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</w:tr>
      <w:tr w:rsidR="002501BF" w:rsidRPr="005E2B83" w:rsidTr="00FF7131">
        <w:tc>
          <w:tcPr>
            <w:tcW w:w="1777" w:type="dxa"/>
          </w:tcPr>
          <w:p w:rsidR="002501BF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Cena za 1 účastníka </w:t>
            </w:r>
            <w:r w:rsidR="00C7581C">
              <w:rPr>
                <w:rFonts w:ascii="Book Antiqua" w:hAnsi="Book Antiqua"/>
                <w:b/>
              </w:rPr>
              <w:t>za 1 turnus</w:t>
            </w:r>
            <w:r w:rsidRPr="002501BF">
              <w:rPr>
                <w:rFonts w:ascii="Book Antiqua" w:hAnsi="Book Antiqua"/>
                <w:b/>
              </w:rPr>
              <w:t xml:space="preserve"> Adaptačního kurzu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967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</w:tr>
      <w:tr w:rsidR="002501BF" w:rsidRPr="005E2B83" w:rsidTr="00FF7131">
        <w:tc>
          <w:tcPr>
            <w:tcW w:w="1777" w:type="dxa"/>
          </w:tcPr>
          <w:p w:rsidR="002501BF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Cena za 49 účastníků </w:t>
            </w:r>
            <w:r w:rsidR="00C7581C">
              <w:rPr>
                <w:rFonts w:ascii="Book Antiqua" w:hAnsi="Book Antiqua"/>
                <w:b/>
              </w:rPr>
              <w:t>za 1 turnus</w:t>
            </w:r>
            <w:r w:rsidRPr="002501BF">
              <w:rPr>
                <w:rFonts w:ascii="Book Antiqua" w:hAnsi="Book Antiqua"/>
                <w:b/>
              </w:rPr>
              <w:t xml:space="preserve"> Adaptačního kurzu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967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</w:tr>
      <w:tr w:rsidR="002501BF" w:rsidRPr="005E2B83" w:rsidTr="00FF7131">
        <w:tc>
          <w:tcPr>
            <w:tcW w:w="1777" w:type="dxa"/>
          </w:tcPr>
          <w:p w:rsidR="002501BF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2501BF">
              <w:rPr>
                <w:rFonts w:ascii="Book Antiqua" w:hAnsi="Book Antiqua"/>
                <w:b/>
              </w:rPr>
              <w:t xml:space="preserve">Cena za 49 účastníků </w:t>
            </w:r>
            <w:r w:rsidR="00C7581C">
              <w:rPr>
                <w:rFonts w:ascii="Book Antiqua" w:hAnsi="Book Antiqua"/>
                <w:b/>
              </w:rPr>
              <w:t xml:space="preserve">za </w:t>
            </w:r>
            <w:r w:rsidRPr="002501BF">
              <w:rPr>
                <w:rFonts w:ascii="Book Antiqua" w:hAnsi="Book Antiqua"/>
                <w:b/>
              </w:rPr>
              <w:lastRenderedPageBreak/>
              <w:t>1</w:t>
            </w:r>
            <w:r>
              <w:rPr>
                <w:rFonts w:ascii="Book Antiqua" w:hAnsi="Book Antiqua"/>
                <w:b/>
              </w:rPr>
              <w:t>2 turnusů</w:t>
            </w:r>
            <w:r w:rsidRPr="002501BF">
              <w:rPr>
                <w:rFonts w:ascii="Book Antiqua" w:hAnsi="Book Antiqua"/>
                <w:b/>
              </w:rPr>
              <w:t xml:space="preserve"> Adaptačního kurzu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lastRenderedPageBreak/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967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  <w:tc>
          <w:tcPr>
            <w:tcW w:w="1848" w:type="dxa"/>
            <w:vAlign w:val="center"/>
          </w:tcPr>
          <w:p w:rsidR="002501BF" w:rsidRPr="005E2B83" w:rsidRDefault="002501BF" w:rsidP="002501BF">
            <w:pPr>
              <w:suppressAutoHyphens/>
              <w:jc w:val="center"/>
              <w:rPr>
                <w:rFonts w:ascii="Book Antiqua" w:hAnsi="Book Antiqua"/>
                <w:b/>
              </w:rPr>
            </w:pPr>
            <w:r w:rsidRPr="00CE6667">
              <w:rPr>
                <w:rFonts w:ascii="Book Antiqua" w:hAnsi="Book Antiqua"/>
                <w:b/>
                <w:highlight w:val="yellow"/>
              </w:rPr>
              <w:t>Doplní uchazeč</w:t>
            </w:r>
          </w:p>
        </w:tc>
      </w:tr>
    </w:tbl>
    <w:p w:rsidR="00A20AD8" w:rsidRPr="005E2B83" w:rsidRDefault="00A20AD8" w:rsidP="008F7690">
      <w:pPr>
        <w:suppressAutoHyphens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456" w:type="dxa"/>
        <w:tblLayout w:type="fixed"/>
        <w:tblLook w:val="0000" w:firstRow="0" w:lastRow="0" w:firstColumn="0" w:lastColumn="0" w:noHBand="0" w:noVBand="0"/>
      </w:tblPr>
      <w:tblGrid>
        <w:gridCol w:w="2880"/>
        <w:gridCol w:w="5952"/>
      </w:tblGrid>
      <w:tr w:rsidR="008F7690" w:rsidRPr="005E2B83" w:rsidTr="00086BB0">
        <w:trPr>
          <w:trHeight w:val="300"/>
        </w:trPr>
        <w:tc>
          <w:tcPr>
            <w:tcW w:w="2880" w:type="dxa"/>
          </w:tcPr>
          <w:p w:rsidR="008F7690" w:rsidRPr="005E2B83" w:rsidRDefault="008F7690" w:rsidP="00086BB0">
            <w:pPr>
              <w:suppressAutoHyphens/>
              <w:snapToGrid w:val="0"/>
              <w:ind w:left="360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952" w:type="dxa"/>
          </w:tcPr>
          <w:p w:rsidR="008F7690" w:rsidRPr="005E2B83" w:rsidRDefault="008F7690" w:rsidP="00086BB0">
            <w:pPr>
              <w:snapToGrid w:val="0"/>
              <w:ind w:left="360"/>
              <w:rPr>
                <w:rFonts w:ascii="Book Antiqua" w:hAnsi="Book Antiqua"/>
                <w:b/>
              </w:rPr>
            </w:pPr>
          </w:p>
        </w:tc>
      </w:tr>
    </w:tbl>
    <w:p w:rsidR="00C01C3A" w:rsidRDefault="001247E9" w:rsidP="00831F65">
      <w:pPr>
        <w:pStyle w:val="Odstavecseseznamem"/>
        <w:numPr>
          <w:ilvl w:val="1"/>
          <w:numId w:val="12"/>
        </w:numPr>
        <w:suppressAutoHyphens/>
        <w:ind w:left="709" w:hanging="425"/>
        <w:jc w:val="both"/>
        <w:rPr>
          <w:rFonts w:ascii="Book Antiqua" w:hAnsi="Book Antiqua"/>
          <w:sz w:val="22"/>
          <w:szCs w:val="22"/>
        </w:rPr>
      </w:pPr>
      <w:r w:rsidRPr="001247E9">
        <w:rPr>
          <w:rFonts w:ascii="Book Antiqua" w:hAnsi="Book Antiqua"/>
          <w:sz w:val="22"/>
          <w:szCs w:val="22"/>
        </w:rPr>
        <w:t>Podkladem pro stanovení ceny je položkový rozpočet, k</w:t>
      </w:r>
      <w:r w:rsidR="00C01C3A">
        <w:rPr>
          <w:rFonts w:ascii="Book Antiqua" w:hAnsi="Book Antiqua"/>
          <w:sz w:val="22"/>
          <w:szCs w:val="22"/>
        </w:rPr>
        <w:t>terý tvoří přílohu této smlouvy</w:t>
      </w:r>
      <w:r w:rsidRPr="001247E9">
        <w:rPr>
          <w:rFonts w:ascii="Book Antiqua" w:hAnsi="Book Antiqua"/>
          <w:sz w:val="22"/>
          <w:szCs w:val="22"/>
        </w:rPr>
        <w:t>, a požadavky zadavatele uvedené v Zadávací dokumentaci, na základě které byla tato smlouva uzavřena.</w:t>
      </w:r>
    </w:p>
    <w:p w:rsidR="008F7690" w:rsidRPr="00C01C3A" w:rsidRDefault="008F7690" w:rsidP="00831F65">
      <w:pPr>
        <w:pStyle w:val="Odstavecseseznamem"/>
        <w:numPr>
          <w:ilvl w:val="1"/>
          <w:numId w:val="12"/>
        </w:numPr>
        <w:suppressAutoHyphens/>
        <w:ind w:left="709" w:hanging="425"/>
        <w:jc w:val="both"/>
        <w:rPr>
          <w:rFonts w:ascii="Book Antiqua" w:hAnsi="Book Antiqua"/>
          <w:sz w:val="22"/>
          <w:szCs w:val="22"/>
        </w:rPr>
      </w:pPr>
      <w:r w:rsidRPr="00C01C3A">
        <w:rPr>
          <w:rFonts w:ascii="Book Antiqua" w:hAnsi="Book Antiqua"/>
          <w:sz w:val="22"/>
          <w:szCs w:val="22"/>
        </w:rPr>
        <w:t xml:space="preserve">DPH bude účtována ve výši určené podle právních předpisů, platných ke dni </w:t>
      </w:r>
      <w:r w:rsidRPr="00C01C3A">
        <w:rPr>
          <w:rFonts w:ascii="Book Antiqua" w:hAnsi="Book Antiqua"/>
          <w:sz w:val="22"/>
          <w:szCs w:val="22"/>
        </w:rPr>
        <w:br/>
        <w:t>uskutečnění zdanitelného plnění. Cena je nejvýše přípustná a není možné ji překročit za žádných podmínek s výjimkou změny sazeb DPH. Cena zahrnuje veškeré a konečné náklady spojené se sjednaným a uvedeným rozsahem plnění.</w:t>
      </w:r>
    </w:p>
    <w:p w:rsidR="008F7690" w:rsidRPr="005E2B83" w:rsidRDefault="008F7690" w:rsidP="00831F65">
      <w:pPr>
        <w:suppressAutoHyphens/>
        <w:ind w:left="709" w:hanging="425"/>
        <w:jc w:val="both"/>
        <w:rPr>
          <w:rFonts w:ascii="Book Antiqua" w:hAnsi="Book Antiqua"/>
          <w:sz w:val="22"/>
          <w:szCs w:val="22"/>
        </w:rPr>
      </w:pPr>
    </w:p>
    <w:p w:rsidR="00156306" w:rsidRDefault="008F7690" w:rsidP="00831F65">
      <w:pPr>
        <w:numPr>
          <w:ilvl w:val="1"/>
          <w:numId w:val="12"/>
        </w:numPr>
        <w:suppressAutoHyphens/>
        <w:ind w:left="709" w:hanging="425"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Celková cena obsahuje veškeré náklady nutné pro činnosti spojené s poskytnutím služby</w:t>
      </w:r>
      <w:r w:rsidR="00D7690B" w:rsidRPr="005E2B83">
        <w:rPr>
          <w:rFonts w:ascii="Book Antiqua" w:hAnsi="Book Antiqua"/>
          <w:sz w:val="22"/>
          <w:szCs w:val="22"/>
        </w:rPr>
        <w:t xml:space="preserve"> ubytování a stravování, včetně zisku a veškerých nákladů k realizaci předmětu této smlouvy, a to včetně nákladů souvisejících (např. pojištění, veškeré poplatky, veškeré dopravní a poštovní náklady a podobně)</w:t>
      </w:r>
      <w:r w:rsidRPr="005E2B83">
        <w:rPr>
          <w:rFonts w:ascii="Book Antiqua" w:hAnsi="Book Antiqua"/>
          <w:sz w:val="22"/>
          <w:szCs w:val="22"/>
        </w:rPr>
        <w:t>.</w:t>
      </w:r>
    </w:p>
    <w:p w:rsidR="00156306" w:rsidRDefault="00156306" w:rsidP="00831F65">
      <w:pPr>
        <w:pStyle w:val="Odstavecseseznamem"/>
        <w:ind w:left="709" w:hanging="425"/>
        <w:rPr>
          <w:rFonts w:ascii="Book Antiqua" w:hAnsi="Book Antiqua"/>
          <w:sz w:val="22"/>
          <w:szCs w:val="22"/>
        </w:rPr>
      </w:pPr>
    </w:p>
    <w:p w:rsidR="00156306" w:rsidRDefault="008F7690" w:rsidP="00831F65">
      <w:pPr>
        <w:numPr>
          <w:ilvl w:val="1"/>
          <w:numId w:val="12"/>
        </w:numPr>
        <w:suppressAutoHyphens/>
        <w:ind w:left="709" w:hanging="425"/>
        <w:jc w:val="both"/>
        <w:rPr>
          <w:rFonts w:ascii="Book Antiqua" w:hAnsi="Book Antiqua"/>
          <w:sz w:val="22"/>
          <w:szCs w:val="22"/>
        </w:rPr>
      </w:pPr>
      <w:r w:rsidRPr="00156306">
        <w:rPr>
          <w:rFonts w:ascii="Book Antiqua" w:hAnsi="Book Antiqua"/>
          <w:sz w:val="22"/>
          <w:szCs w:val="22"/>
        </w:rPr>
        <w:t>Příjemce nebude poskytovat poskytovateli zálohu na žádnou z poskytnutých služeb.</w:t>
      </w:r>
    </w:p>
    <w:p w:rsidR="00156306" w:rsidRDefault="00156306" w:rsidP="00831F65">
      <w:pPr>
        <w:pStyle w:val="Odstavecseseznamem"/>
        <w:ind w:left="709" w:hanging="425"/>
        <w:rPr>
          <w:rFonts w:ascii="Book Antiqua" w:hAnsi="Book Antiqua"/>
          <w:sz w:val="22"/>
          <w:szCs w:val="22"/>
        </w:rPr>
      </w:pPr>
    </w:p>
    <w:p w:rsidR="00156306" w:rsidRDefault="008F7690" w:rsidP="00831F65">
      <w:pPr>
        <w:numPr>
          <w:ilvl w:val="1"/>
          <w:numId w:val="12"/>
        </w:numPr>
        <w:suppressAutoHyphens/>
        <w:ind w:left="709" w:hanging="425"/>
        <w:jc w:val="both"/>
        <w:rPr>
          <w:rFonts w:ascii="Book Antiqua" w:hAnsi="Book Antiqua"/>
          <w:sz w:val="22"/>
          <w:szCs w:val="22"/>
        </w:rPr>
      </w:pPr>
      <w:r w:rsidRPr="00156306">
        <w:rPr>
          <w:rFonts w:ascii="Book Antiqua" w:hAnsi="Book Antiqua"/>
          <w:sz w:val="22"/>
          <w:szCs w:val="22"/>
        </w:rPr>
        <w:t>Dnem zdanitelného plnění je den</w:t>
      </w:r>
      <w:r w:rsidR="006913AD" w:rsidRPr="00156306">
        <w:rPr>
          <w:rFonts w:ascii="Book Antiqua" w:hAnsi="Book Antiqua"/>
          <w:sz w:val="22"/>
          <w:szCs w:val="22"/>
        </w:rPr>
        <w:t xml:space="preserve"> ukončení každého jednotlivého turnusu podle článku 3 této smlouvy bodu </w:t>
      </w:r>
      <w:proofErr w:type="gramStart"/>
      <w:r w:rsidR="006913AD" w:rsidRPr="00156306">
        <w:rPr>
          <w:rFonts w:ascii="Book Antiqua" w:hAnsi="Book Antiqua"/>
          <w:sz w:val="22"/>
          <w:szCs w:val="22"/>
        </w:rPr>
        <w:t>3.1..</w:t>
      </w:r>
      <w:proofErr w:type="gramEnd"/>
    </w:p>
    <w:p w:rsidR="00156306" w:rsidRDefault="00156306" w:rsidP="00831F65">
      <w:pPr>
        <w:pStyle w:val="Odstavecseseznamem"/>
        <w:ind w:left="709" w:hanging="425"/>
        <w:rPr>
          <w:rFonts w:ascii="Book Antiqua" w:hAnsi="Book Antiqua"/>
          <w:sz w:val="22"/>
          <w:szCs w:val="22"/>
        </w:rPr>
      </w:pPr>
    </w:p>
    <w:p w:rsidR="00156306" w:rsidRDefault="008F7690" w:rsidP="00831F65">
      <w:pPr>
        <w:numPr>
          <w:ilvl w:val="1"/>
          <w:numId w:val="12"/>
        </w:numPr>
        <w:suppressAutoHyphens/>
        <w:ind w:left="709" w:hanging="425"/>
        <w:jc w:val="both"/>
        <w:rPr>
          <w:rFonts w:ascii="Book Antiqua" w:hAnsi="Book Antiqua"/>
          <w:sz w:val="22"/>
          <w:szCs w:val="22"/>
        </w:rPr>
      </w:pPr>
      <w:r w:rsidRPr="00156306">
        <w:rPr>
          <w:rFonts w:ascii="Book Antiqua" w:hAnsi="Book Antiqua"/>
          <w:sz w:val="22"/>
          <w:szCs w:val="22"/>
        </w:rPr>
        <w:t>Faktura bude mít náležitosti daňového dokladu dle zákona 235/2004 Sb., o dani z přidané hodnoty, v platném znění, zákona č. 563/ 1991 Sb., o účetnictví, v platném znění, a náležitosti obchodní listiny dle § 13a obchodního zákoníku. Nebude-li faktura obsahovat některou náležitost, je příjemce oprávněn fakturu před uplynutím lhůty splatnosti vrátit poskytovateli k provedení opravy. V takovém případě nelze uplatnit zákonné příslušenství (úrok z prodlení). Lhůta splatnosti počíná běžet opět ode dne doručení opravené faktury.</w:t>
      </w:r>
    </w:p>
    <w:p w:rsidR="00156306" w:rsidRDefault="00156306" w:rsidP="00831F65">
      <w:pPr>
        <w:pStyle w:val="Odstavecseseznamem"/>
        <w:ind w:left="709" w:hanging="425"/>
        <w:rPr>
          <w:rFonts w:ascii="Book Antiqua" w:hAnsi="Book Antiqua"/>
          <w:sz w:val="22"/>
          <w:szCs w:val="22"/>
        </w:rPr>
      </w:pPr>
    </w:p>
    <w:p w:rsidR="008F7690" w:rsidRDefault="008F7690" w:rsidP="00831F65">
      <w:pPr>
        <w:numPr>
          <w:ilvl w:val="1"/>
          <w:numId w:val="12"/>
        </w:numPr>
        <w:suppressAutoHyphens/>
        <w:ind w:left="709" w:hanging="425"/>
        <w:jc w:val="both"/>
        <w:rPr>
          <w:rFonts w:ascii="Book Antiqua" w:hAnsi="Book Antiqua"/>
          <w:sz w:val="22"/>
          <w:szCs w:val="22"/>
        </w:rPr>
      </w:pPr>
      <w:r w:rsidRPr="00156306">
        <w:rPr>
          <w:rFonts w:ascii="Book Antiqua" w:hAnsi="Book Antiqua"/>
          <w:sz w:val="22"/>
          <w:szCs w:val="22"/>
        </w:rPr>
        <w:t xml:space="preserve">Splatnost faktury se sjednává v délce 30 dnů od jejich obdržení příjemcem. </w:t>
      </w:r>
    </w:p>
    <w:p w:rsidR="00156306" w:rsidRDefault="00156306" w:rsidP="00831F65">
      <w:pPr>
        <w:pStyle w:val="Odstavecseseznamem"/>
        <w:ind w:left="709" w:hanging="425"/>
        <w:rPr>
          <w:rFonts w:ascii="Book Antiqua" w:hAnsi="Book Antiqua"/>
          <w:sz w:val="22"/>
          <w:szCs w:val="22"/>
        </w:rPr>
      </w:pPr>
    </w:p>
    <w:p w:rsidR="00156306" w:rsidRPr="00156306" w:rsidRDefault="00156306" w:rsidP="00831F65">
      <w:pPr>
        <w:numPr>
          <w:ilvl w:val="1"/>
          <w:numId w:val="12"/>
        </w:numPr>
        <w:suppressAutoHyphens/>
        <w:ind w:left="709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Podkladem pro stanovení ceny je položkový rozpočet, který tvoří přílohu této smlouvy, a požadavky zadavatele uvedené v Zadávací dokumentaci, na základě které byla tato smlouva uzavřena.</w:t>
      </w:r>
    </w:p>
    <w:p w:rsidR="008F7690" w:rsidRPr="005E2B83" w:rsidRDefault="008F7690" w:rsidP="008F7690">
      <w:pPr>
        <w:suppressAutoHyphens/>
        <w:jc w:val="both"/>
        <w:rPr>
          <w:rFonts w:ascii="Book Antiqua" w:hAnsi="Book Antiqua"/>
          <w:sz w:val="22"/>
          <w:szCs w:val="22"/>
        </w:rPr>
      </w:pPr>
    </w:p>
    <w:p w:rsidR="008F7690" w:rsidRDefault="008F7690" w:rsidP="008F7690">
      <w:pPr>
        <w:jc w:val="both"/>
        <w:rPr>
          <w:rFonts w:ascii="Book Antiqua" w:hAnsi="Book Antiqua"/>
          <w:sz w:val="22"/>
          <w:szCs w:val="22"/>
        </w:rPr>
      </w:pPr>
    </w:p>
    <w:p w:rsidR="00831F65" w:rsidRDefault="00831F65" w:rsidP="008F7690">
      <w:pPr>
        <w:jc w:val="both"/>
        <w:rPr>
          <w:rFonts w:ascii="Book Antiqua" w:hAnsi="Book Antiqua"/>
          <w:sz w:val="22"/>
          <w:szCs w:val="22"/>
        </w:rPr>
      </w:pPr>
    </w:p>
    <w:p w:rsidR="00831F65" w:rsidRDefault="00831F65" w:rsidP="008F7690">
      <w:pPr>
        <w:jc w:val="both"/>
        <w:rPr>
          <w:rFonts w:ascii="Book Antiqua" w:hAnsi="Book Antiqua"/>
          <w:sz w:val="22"/>
          <w:szCs w:val="22"/>
        </w:rPr>
      </w:pPr>
    </w:p>
    <w:p w:rsidR="00831F65" w:rsidRPr="005E2B83" w:rsidRDefault="00831F65" w:rsidP="008F7690">
      <w:pPr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31F65">
      <w:pPr>
        <w:keepNext/>
        <w:numPr>
          <w:ilvl w:val="0"/>
          <w:numId w:val="12"/>
        </w:numPr>
        <w:spacing w:before="240" w:after="60"/>
        <w:outlineLvl w:val="0"/>
        <w:rPr>
          <w:rFonts w:ascii="Book Antiqua" w:hAnsi="Book Antiqua"/>
          <w:b/>
          <w:caps/>
          <w:sz w:val="22"/>
          <w:szCs w:val="22"/>
          <w:lang w:eastAsia="ar-SA"/>
        </w:rPr>
      </w:pPr>
      <w:r w:rsidRPr="005E2B83">
        <w:rPr>
          <w:rFonts w:ascii="Book Antiqua" w:hAnsi="Book Antiqua"/>
          <w:b/>
          <w:caps/>
          <w:sz w:val="22"/>
          <w:szCs w:val="22"/>
          <w:lang w:eastAsia="ar-SA"/>
        </w:rPr>
        <w:lastRenderedPageBreak/>
        <w:t>DALŠÍ PODMÍNKY SMLOUVY</w:t>
      </w:r>
    </w:p>
    <w:p w:rsidR="008F7690" w:rsidRPr="005E2B83" w:rsidRDefault="008F7690" w:rsidP="008F7690">
      <w:pPr>
        <w:keepNext/>
        <w:suppressAutoHyphens/>
        <w:jc w:val="center"/>
        <w:rPr>
          <w:rFonts w:ascii="Book Antiqua" w:hAnsi="Book Antiqua"/>
          <w:b/>
          <w:sz w:val="22"/>
          <w:szCs w:val="22"/>
          <w:lang w:eastAsia="ar-SA"/>
        </w:rPr>
      </w:pPr>
    </w:p>
    <w:p w:rsidR="008F7690" w:rsidRPr="005E2B83" w:rsidRDefault="008F7690" w:rsidP="008F7690">
      <w:pPr>
        <w:suppressAutoHyphens/>
        <w:jc w:val="center"/>
        <w:rPr>
          <w:rFonts w:ascii="Book Antiqua" w:hAnsi="Book Antiqua"/>
          <w:b/>
          <w:sz w:val="22"/>
          <w:szCs w:val="22"/>
          <w:lang w:eastAsia="ar-SA"/>
        </w:rPr>
      </w:pPr>
    </w:p>
    <w:p w:rsidR="008F7690" w:rsidRPr="005E2B83" w:rsidRDefault="008F7690" w:rsidP="00831F65">
      <w:pPr>
        <w:numPr>
          <w:ilvl w:val="1"/>
          <w:numId w:val="4"/>
        </w:numPr>
        <w:tabs>
          <w:tab w:val="clear" w:pos="357"/>
        </w:tabs>
        <w:suppressAutoHyphens/>
        <w:ind w:hanging="508"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Poskytovatel je povinen příjemce informovat o všech změnách týkajících se realizace zakázky, které mu budou známy a které mohou realizaci zakázky ovlivnit.</w:t>
      </w:r>
      <w:r w:rsidRPr="005E2B83">
        <w:rPr>
          <w:rFonts w:ascii="Book Antiqua" w:hAnsi="Book Antiqua"/>
          <w:sz w:val="22"/>
          <w:szCs w:val="22"/>
        </w:rPr>
        <w:br/>
      </w:r>
    </w:p>
    <w:p w:rsidR="00831F65" w:rsidRDefault="008F7690" w:rsidP="00831F65">
      <w:pPr>
        <w:numPr>
          <w:ilvl w:val="1"/>
          <w:numId w:val="4"/>
        </w:numPr>
        <w:tabs>
          <w:tab w:val="clear" w:pos="357"/>
        </w:tabs>
        <w:suppressAutoHyphens/>
        <w:ind w:hanging="508"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Poskytovatel se zavazuje zachovávat mlčenlivost o všech skutečnostech, které se dozví při plnění veřejné zakázky.</w:t>
      </w:r>
    </w:p>
    <w:p w:rsidR="00831F65" w:rsidRDefault="00831F65" w:rsidP="00831F65">
      <w:pPr>
        <w:suppressAutoHyphens/>
        <w:ind w:left="792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31F65">
      <w:pPr>
        <w:numPr>
          <w:ilvl w:val="1"/>
          <w:numId w:val="4"/>
        </w:numPr>
        <w:tabs>
          <w:tab w:val="clear" w:pos="357"/>
        </w:tabs>
        <w:suppressAutoHyphens/>
        <w:ind w:hanging="508"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Poskytovatel nesmí postoupit pohledávky vůči zadavateli třetí osobě.</w:t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br/>
      </w:r>
    </w:p>
    <w:p w:rsidR="00831F65" w:rsidRDefault="008F7690" w:rsidP="00831F65">
      <w:pPr>
        <w:numPr>
          <w:ilvl w:val="1"/>
          <w:numId w:val="4"/>
        </w:numPr>
        <w:tabs>
          <w:tab w:val="clear" w:pos="357"/>
        </w:tabs>
        <w:suppressAutoHyphens/>
        <w:ind w:hanging="508"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Poskytovatel odpovídá za činnost svých subdodavatelů, jako kdyby tuto činnost vykonával sám.</w:t>
      </w:r>
    </w:p>
    <w:p w:rsidR="008F7690" w:rsidRPr="005E2B83" w:rsidRDefault="008F7690" w:rsidP="00831F65">
      <w:pPr>
        <w:suppressAutoHyphens/>
        <w:ind w:left="792"/>
        <w:jc w:val="both"/>
        <w:rPr>
          <w:rFonts w:ascii="Book Antiqua" w:hAnsi="Book Antiqua"/>
          <w:sz w:val="22"/>
          <w:szCs w:val="22"/>
        </w:rPr>
      </w:pPr>
    </w:p>
    <w:p w:rsidR="008F7690" w:rsidRDefault="008F7690" w:rsidP="00831F65">
      <w:pPr>
        <w:numPr>
          <w:ilvl w:val="1"/>
          <w:numId w:val="4"/>
        </w:numPr>
        <w:tabs>
          <w:tab w:val="clear" w:pos="357"/>
        </w:tabs>
        <w:suppressAutoHyphens/>
        <w:ind w:hanging="508"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Poskytovatel dává souhlas se zveřejněním obsahu smlouvy nebo jejích částí podle zákona č. 106/1999 Sb., o svobodném přístupu k informacím, ve znění pozdějších předpisů, zejména s povinností příjemce poskytnout informaci o rozsahu a příjemci prostředků z rozpočtu příjemce. Poskytovatel je seznámen se skutečností, že poskytnutí těchto informací se dle výše uvedeného zákona nepovažuje za porušení obchodního tajemství a s jejich zveřejněním souhlasí.</w:t>
      </w:r>
    </w:p>
    <w:p w:rsidR="00D543FB" w:rsidRDefault="00D543FB" w:rsidP="00831F65">
      <w:pPr>
        <w:suppressAutoHyphens/>
        <w:ind w:left="792" w:hanging="508"/>
        <w:jc w:val="both"/>
        <w:rPr>
          <w:rFonts w:ascii="Book Antiqua" w:hAnsi="Book Antiqua"/>
          <w:sz w:val="22"/>
          <w:szCs w:val="22"/>
        </w:rPr>
      </w:pPr>
    </w:p>
    <w:p w:rsidR="00D543FB" w:rsidRDefault="00D543FB" w:rsidP="00831F65">
      <w:pPr>
        <w:pStyle w:val="Odstavecseseznamem"/>
        <w:numPr>
          <w:ilvl w:val="1"/>
          <w:numId w:val="4"/>
        </w:numPr>
        <w:tabs>
          <w:tab w:val="clear" w:pos="357"/>
        </w:tabs>
        <w:suppressAutoHyphens/>
        <w:ind w:hanging="5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Zástupci příjemce jsou povinni v místě plnění smlouvy jednat podle interních směrnic, nařízení, všeobecných podmínek, </w:t>
      </w:r>
      <w:proofErr w:type="spellStart"/>
      <w:r>
        <w:rPr>
          <w:rFonts w:ascii="Book Antiqua" w:hAnsi="Book Antiqua"/>
          <w:sz w:val="22"/>
          <w:szCs w:val="22"/>
        </w:rPr>
        <w:t>apod</w:t>
      </w:r>
      <w:proofErr w:type="spellEnd"/>
      <w:r>
        <w:rPr>
          <w:rFonts w:ascii="Book Antiqua" w:hAnsi="Book Antiqua"/>
          <w:sz w:val="22"/>
          <w:szCs w:val="22"/>
        </w:rPr>
        <w:t xml:space="preserve">… poskytovatele, pokud takové jednání tato smlouva neupravuje. Pokud by ovšem interní směrnice, nařízení, všeobecné podmínky, </w:t>
      </w:r>
      <w:proofErr w:type="spellStart"/>
      <w:r>
        <w:rPr>
          <w:rFonts w:ascii="Book Antiqua" w:hAnsi="Book Antiqua"/>
          <w:sz w:val="22"/>
          <w:szCs w:val="22"/>
        </w:rPr>
        <w:t>apod</w:t>
      </w:r>
      <w:proofErr w:type="spellEnd"/>
      <w:r>
        <w:rPr>
          <w:rFonts w:ascii="Book Antiqua" w:hAnsi="Book Antiqua"/>
          <w:sz w:val="22"/>
          <w:szCs w:val="22"/>
        </w:rPr>
        <w:t>… upravovaly smluvní vztah mezi příjemcem a poskytovatelem odlišně od této smlouvy, tak se vždy pro takovéto případy použije</w:t>
      </w:r>
      <w:r w:rsidR="00C7581C">
        <w:rPr>
          <w:rFonts w:ascii="Book Antiqua" w:hAnsi="Book Antiqua"/>
          <w:sz w:val="22"/>
          <w:szCs w:val="22"/>
        </w:rPr>
        <w:t xml:space="preserve"> ustanovení této smlouvy a číslovaných </w:t>
      </w:r>
      <w:r>
        <w:rPr>
          <w:rFonts w:ascii="Book Antiqua" w:hAnsi="Book Antiqua"/>
          <w:sz w:val="22"/>
          <w:szCs w:val="22"/>
        </w:rPr>
        <w:t>dodatků</w:t>
      </w:r>
      <w:r w:rsidR="00C7581C">
        <w:rPr>
          <w:rFonts w:ascii="Book Antiqua" w:hAnsi="Book Antiqua"/>
          <w:sz w:val="22"/>
          <w:szCs w:val="22"/>
        </w:rPr>
        <w:t xml:space="preserve"> této smlouvy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5826E8" w:rsidRDefault="005826E8" w:rsidP="005826E8">
      <w:pPr>
        <w:pStyle w:val="Odstavecseseznamem"/>
        <w:suppressAutoHyphens/>
        <w:ind w:left="792"/>
        <w:jc w:val="both"/>
        <w:rPr>
          <w:rFonts w:ascii="Book Antiqua" w:hAnsi="Book Antiqua"/>
          <w:sz w:val="22"/>
          <w:szCs w:val="22"/>
        </w:rPr>
      </w:pPr>
    </w:p>
    <w:p w:rsidR="005826E8" w:rsidRPr="00D543FB" w:rsidRDefault="005826E8" w:rsidP="0089464D">
      <w:pPr>
        <w:pStyle w:val="Odstavecseseznamem"/>
        <w:numPr>
          <w:ilvl w:val="1"/>
          <w:numId w:val="4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9F571E">
        <w:rPr>
          <w:rFonts w:ascii="Book Antiqua" w:hAnsi="Book Antiqua"/>
          <w:color w:val="FF0000"/>
          <w:sz w:val="22"/>
          <w:szCs w:val="22"/>
        </w:rPr>
        <w:t xml:space="preserve">Poskytovatel poskytne příjemci dostatečnou součinnost podle § 147a odst. 4 a 5 zákona 137/2006 Sb., o veřejných zakázkách. V případě, že poskytovatel tuto součinnost neposkytne tak </w:t>
      </w:r>
      <w:r w:rsidR="0089464D" w:rsidRPr="009F571E">
        <w:rPr>
          <w:rFonts w:ascii="Book Antiqua" w:hAnsi="Book Antiqua"/>
          <w:color w:val="FF0000"/>
          <w:sz w:val="22"/>
          <w:szCs w:val="22"/>
        </w:rPr>
        <w:t>je příjemce oprávněn účtovat příjemci sankci až ve výši 10% z Ceny za 49 účastníků za 12 turnusů.</w:t>
      </w:r>
    </w:p>
    <w:p w:rsidR="008F7690" w:rsidRPr="005E2B83" w:rsidRDefault="008F7690" w:rsidP="00831F65">
      <w:pPr>
        <w:suppressAutoHyphens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31F65">
      <w:pPr>
        <w:keepNext/>
        <w:numPr>
          <w:ilvl w:val="0"/>
          <w:numId w:val="12"/>
        </w:numPr>
        <w:spacing w:before="240" w:after="60"/>
        <w:outlineLvl w:val="0"/>
        <w:rPr>
          <w:rFonts w:ascii="Book Antiqua" w:hAnsi="Book Antiqua"/>
          <w:b/>
          <w:caps/>
          <w:sz w:val="22"/>
          <w:szCs w:val="22"/>
          <w:lang w:eastAsia="ar-SA"/>
        </w:rPr>
      </w:pPr>
      <w:r w:rsidRPr="005E2B83">
        <w:rPr>
          <w:rFonts w:ascii="Book Antiqua" w:hAnsi="Book Antiqua"/>
          <w:b/>
          <w:caps/>
          <w:sz w:val="22"/>
          <w:szCs w:val="22"/>
          <w:lang w:eastAsia="ar-SA"/>
        </w:rPr>
        <w:t>SMLUVNÍ POKUTY</w:t>
      </w:r>
    </w:p>
    <w:p w:rsidR="008F7690" w:rsidRPr="005E2B83" w:rsidRDefault="008F7690" w:rsidP="008F7690">
      <w:pPr>
        <w:suppressAutoHyphens/>
        <w:rPr>
          <w:rFonts w:ascii="Book Antiqua" w:hAnsi="Book Antiqua"/>
          <w:sz w:val="22"/>
          <w:szCs w:val="22"/>
          <w:lang w:eastAsia="ar-SA"/>
        </w:rPr>
      </w:pPr>
    </w:p>
    <w:p w:rsidR="008F7690" w:rsidRPr="005E2B83" w:rsidRDefault="008F7690" w:rsidP="008F7690">
      <w:pPr>
        <w:suppressAutoHyphens/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31F65">
      <w:pPr>
        <w:numPr>
          <w:ilvl w:val="1"/>
          <w:numId w:val="5"/>
        </w:numPr>
        <w:tabs>
          <w:tab w:val="clear" w:pos="1080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V případě prodlení příjemce s úhradou ceny za poskytnuté plnění je poskytovatel oprávněn účtovat příjemci smluvní pokutu ve výši 0,05 % z dlužné částky za každý den prodlení.</w:t>
      </w:r>
    </w:p>
    <w:p w:rsidR="008F7690" w:rsidRPr="005E2B83" w:rsidRDefault="008F7690" w:rsidP="00831F65">
      <w:pPr>
        <w:suppressAutoHyphens/>
        <w:ind w:left="792" w:hanging="432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31F65">
      <w:pPr>
        <w:numPr>
          <w:ilvl w:val="1"/>
          <w:numId w:val="5"/>
        </w:numPr>
        <w:tabs>
          <w:tab w:val="clear" w:pos="1080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V případě, že nebude poskytovatelem plnění poskytnuto vůbec, a nedojde ani k zahájení poskytování služeb, v důsledku čehož dojde k odstoupení od smlouvy ze </w:t>
      </w:r>
      <w:r w:rsidRPr="005E2B83">
        <w:rPr>
          <w:rFonts w:ascii="Book Antiqua" w:hAnsi="Book Antiqua"/>
          <w:sz w:val="22"/>
          <w:szCs w:val="22"/>
        </w:rPr>
        <w:lastRenderedPageBreak/>
        <w:t>strany příjemce, je příjemce oprávněn poskytovateli účtovat smluvní pokutu ve výši  20</w:t>
      </w:r>
      <w:r w:rsidR="00DE5800">
        <w:rPr>
          <w:rFonts w:ascii="Book Antiqua" w:hAnsi="Book Antiqua"/>
          <w:sz w:val="22"/>
          <w:szCs w:val="22"/>
        </w:rPr>
        <w:t>0</w:t>
      </w:r>
      <w:r w:rsidRPr="005E2B83">
        <w:rPr>
          <w:rFonts w:ascii="Book Antiqua" w:hAnsi="Book Antiqua"/>
          <w:sz w:val="22"/>
          <w:szCs w:val="22"/>
        </w:rPr>
        <w:t xml:space="preserve">. 000,- Kč </w:t>
      </w:r>
      <w:r w:rsidR="00DE5800">
        <w:rPr>
          <w:rFonts w:ascii="Book Antiqua" w:hAnsi="Book Antiqua"/>
          <w:sz w:val="22"/>
          <w:szCs w:val="22"/>
        </w:rPr>
        <w:t>(slovy dvě stě</w:t>
      </w:r>
      <w:r w:rsidRPr="005E2B83">
        <w:rPr>
          <w:rFonts w:ascii="Book Antiqua" w:hAnsi="Book Antiqua"/>
          <w:sz w:val="22"/>
          <w:szCs w:val="22"/>
        </w:rPr>
        <w:t xml:space="preserve"> tisíc korun českých).</w:t>
      </w:r>
    </w:p>
    <w:p w:rsidR="006913AD" w:rsidRPr="005E2B83" w:rsidRDefault="006913AD" w:rsidP="00831F65">
      <w:pPr>
        <w:pStyle w:val="Odstavecseseznamem"/>
        <w:ind w:left="792" w:hanging="432"/>
        <w:rPr>
          <w:rFonts w:ascii="Book Antiqua" w:hAnsi="Book Antiqua"/>
          <w:sz w:val="22"/>
          <w:szCs w:val="22"/>
        </w:rPr>
      </w:pPr>
    </w:p>
    <w:p w:rsidR="006913AD" w:rsidRPr="005E2B83" w:rsidRDefault="006913AD" w:rsidP="00831F65">
      <w:pPr>
        <w:numPr>
          <w:ilvl w:val="1"/>
          <w:numId w:val="5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V případě, že nebude poskytovatelem plnění poskytnuto v rozsahu podle bodu 2.2 této smlouvy, je příjemce oprávněn poskytovateli účtovat smluvní pokutu ve výši 5.000,- Kč (slovy pět tisíc korun českých) za každý i započatý den, kdy místo plnění </w:t>
      </w:r>
      <w:r w:rsidR="00156306">
        <w:rPr>
          <w:rFonts w:ascii="Book Antiqua" w:hAnsi="Book Antiqua"/>
          <w:sz w:val="22"/>
          <w:szCs w:val="22"/>
        </w:rPr>
        <w:t>nebude splňovat podmínky uvedené v</w:t>
      </w:r>
      <w:r w:rsidR="00FF4409">
        <w:rPr>
          <w:rFonts w:ascii="Book Antiqua" w:hAnsi="Book Antiqua"/>
          <w:sz w:val="22"/>
          <w:szCs w:val="22"/>
        </w:rPr>
        <w:t xml:space="preserve"> bodu </w:t>
      </w:r>
      <w:proofErr w:type="gramStart"/>
      <w:r w:rsidR="00FF4409">
        <w:rPr>
          <w:rFonts w:ascii="Book Antiqua" w:hAnsi="Book Antiqua"/>
          <w:sz w:val="22"/>
          <w:szCs w:val="22"/>
        </w:rPr>
        <w:t>2</w:t>
      </w:r>
      <w:r w:rsidRPr="005E2B83">
        <w:rPr>
          <w:rFonts w:ascii="Book Antiqua" w:hAnsi="Book Antiqua"/>
          <w:sz w:val="22"/>
          <w:szCs w:val="22"/>
        </w:rPr>
        <w:t>.2.</w:t>
      </w:r>
      <w:r w:rsidR="00C01C3A">
        <w:rPr>
          <w:rFonts w:ascii="Book Antiqua" w:hAnsi="Book Antiqua"/>
          <w:sz w:val="22"/>
          <w:szCs w:val="22"/>
        </w:rPr>
        <w:t xml:space="preserve"> této</w:t>
      </w:r>
      <w:proofErr w:type="gramEnd"/>
      <w:r w:rsidR="00C01C3A">
        <w:rPr>
          <w:rFonts w:ascii="Book Antiqua" w:hAnsi="Book Antiqua"/>
          <w:sz w:val="22"/>
          <w:szCs w:val="22"/>
        </w:rPr>
        <w:t xml:space="preserve"> smlouvy</w:t>
      </w:r>
      <w:r w:rsidR="00156306">
        <w:rPr>
          <w:rFonts w:ascii="Book Antiqua" w:hAnsi="Book Antiqua"/>
          <w:sz w:val="22"/>
          <w:szCs w:val="22"/>
        </w:rPr>
        <w:t>.</w:t>
      </w:r>
    </w:p>
    <w:p w:rsidR="008F7690" w:rsidRPr="005E2B83" w:rsidRDefault="008F7690" w:rsidP="008F7690">
      <w:pPr>
        <w:suppressAutoHyphens/>
        <w:ind w:left="360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ab/>
      </w:r>
    </w:p>
    <w:p w:rsidR="00156306" w:rsidRDefault="008F7690" w:rsidP="00156306">
      <w:pPr>
        <w:numPr>
          <w:ilvl w:val="1"/>
          <w:numId w:val="5"/>
        </w:numPr>
        <w:tabs>
          <w:tab w:val="clear" w:pos="1080"/>
        </w:tabs>
        <w:suppressAutoHyphens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Smluvní pokuta se platí nezávisle na tom, zda a v jaké výši vznikne škoda, kterou lze vymáhat samostatně.</w:t>
      </w:r>
    </w:p>
    <w:p w:rsidR="00156306" w:rsidRDefault="00156306" w:rsidP="00156306">
      <w:pPr>
        <w:pStyle w:val="Odstavecseseznamem"/>
        <w:rPr>
          <w:rFonts w:ascii="Book Antiqua" w:hAnsi="Book Antiqua"/>
          <w:sz w:val="22"/>
          <w:szCs w:val="22"/>
        </w:rPr>
      </w:pPr>
    </w:p>
    <w:p w:rsidR="008F7690" w:rsidRPr="00156306" w:rsidRDefault="008F7690" w:rsidP="00156306">
      <w:pPr>
        <w:numPr>
          <w:ilvl w:val="1"/>
          <w:numId w:val="5"/>
        </w:numPr>
        <w:tabs>
          <w:tab w:val="clear" w:pos="1080"/>
        </w:tabs>
        <w:suppressAutoHyphens/>
        <w:rPr>
          <w:rFonts w:ascii="Book Antiqua" w:hAnsi="Book Antiqua"/>
          <w:sz w:val="22"/>
          <w:szCs w:val="22"/>
        </w:rPr>
      </w:pPr>
      <w:r w:rsidRPr="00156306">
        <w:rPr>
          <w:rFonts w:ascii="Book Antiqua" w:hAnsi="Book Antiqua"/>
          <w:sz w:val="22"/>
          <w:szCs w:val="22"/>
        </w:rPr>
        <w:t xml:space="preserve">Smluvní pokuta bude splatná ve lhůtě deseti kalendářních dnů po doručení výzvy k jejímu zaplacení </w:t>
      </w:r>
      <w:r w:rsidRPr="00156306">
        <w:rPr>
          <w:rFonts w:ascii="Book Antiqua" w:hAnsi="Book Antiqua"/>
          <w:sz w:val="22"/>
          <w:szCs w:val="22"/>
          <w:lang w:eastAsia="ar-SA"/>
        </w:rPr>
        <w:t>příjemci.</w:t>
      </w:r>
    </w:p>
    <w:p w:rsidR="008F7690" w:rsidRPr="005E2B83" w:rsidRDefault="008F7690" w:rsidP="008F7690">
      <w:pPr>
        <w:ind w:left="454" w:hanging="634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keepNext/>
        <w:numPr>
          <w:ilvl w:val="0"/>
          <w:numId w:val="6"/>
        </w:numPr>
        <w:spacing w:before="240" w:after="60"/>
        <w:jc w:val="both"/>
        <w:outlineLvl w:val="0"/>
        <w:rPr>
          <w:rFonts w:ascii="Book Antiqua" w:hAnsi="Book Antiqua"/>
          <w:b/>
          <w:caps/>
          <w:sz w:val="22"/>
          <w:szCs w:val="22"/>
          <w:lang w:eastAsia="ar-SA"/>
        </w:rPr>
      </w:pPr>
      <w:r w:rsidRPr="005E2B83">
        <w:rPr>
          <w:rFonts w:ascii="Book Antiqua" w:hAnsi="Book Antiqua"/>
          <w:b/>
          <w:caps/>
          <w:sz w:val="22"/>
          <w:szCs w:val="22"/>
          <w:lang w:eastAsia="ar-SA"/>
        </w:rPr>
        <w:t>záruka a odpovědnost</w:t>
      </w:r>
    </w:p>
    <w:p w:rsidR="008F7690" w:rsidRPr="005E2B83" w:rsidRDefault="008F7690" w:rsidP="008F7690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:rsidR="008F7690" w:rsidRPr="005E2B83" w:rsidRDefault="008F7690" w:rsidP="008F7690">
      <w:pPr>
        <w:numPr>
          <w:ilvl w:val="1"/>
          <w:numId w:val="6"/>
        </w:numPr>
        <w:spacing w:line="255" w:lineRule="atLeast"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Poskytovatel odpovídá příjemci za porušení závazků vyplývajících z této smlouvy bez ohledu na to, zda tyto závazky mají být splněny poskytovatelem nebo jinými poskytovateli služeb.</w:t>
      </w:r>
    </w:p>
    <w:p w:rsidR="008F7690" w:rsidRPr="005E2B83" w:rsidRDefault="008F7690" w:rsidP="008F7690">
      <w:pPr>
        <w:spacing w:line="255" w:lineRule="atLeast"/>
        <w:ind w:left="900" w:hanging="54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numPr>
          <w:ilvl w:val="1"/>
          <w:numId w:val="6"/>
        </w:numPr>
        <w:spacing w:line="255" w:lineRule="atLeast"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Poskytovatel neodpovídá za škodu, pokud byla způsobena zaměstn</w:t>
      </w:r>
      <w:r w:rsidR="00156306">
        <w:rPr>
          <w:rFonts w:ascii="Book Antiqua" w:hAnsi="Book Antiqua"/>
          <w:sz w:val="22"/>
          <w:szCs w:val="22"/>
        </w:rPr>
        <w:t>ancem příjemce,</w:t>
      </w:r>
      <w:r w:rsidRPr="005E2B83">
        <w:rPr>
          <w:rFonts w:ascii="Book Antiqua" w:hAnsi="Book Antiqua"/>
          <w:sz w:val="22"/>
          <w:szCs w:val="22"/>
        </w:rPr>
        <w:t xml:space="preserve"> nebo vznikla neodvratitelnou událostí, které nemohlo být zabráněno ani při vynaložení maximálního úsilí.</w:t>
      </w:r>
    </w:p>
    <w:p w:rsidR="008F7690" w:rsidRPr="005E2B83" w:rsidRDefault="008F7690" w:rsidP="008F7690">
      <w:pPr>
        <w:suppressAutoHyphens/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numPr>
          <w:ilvl w:val="1"/>
          <w:numId w:val="6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Reklamace vad poskytované služby musí uplatnit příjemce neprodleně při jejich zjištění. V případě oprávněné reklamace musí poskytovatel</w:t>
      </w:r>
      <w:r w:rsidR="009C3C5D">
        <w:rPr>
          <w:rFonts w:ascii="Book Antiqua" w:hAnsi="Book Antiqua"/>
          <w:sz w:val="22"/>
          <w:szCs w:val="22"/>
        </w:rPr>
        <w:t xml:space="preserve"> okamžitě sjednat nápravu, </w:t>
      </w:r>
      <w:proofErr w:type="gramStart"/>
      <w:r w:rsidR="009C3C5D">
        <w:rPr>
          <w:rFonts w:ascii="Book Antiqua" w:hAnsi="Book Antiqua"/>
          <w:sz w:val="22"/>
          <w:szCs w:val="22"/>
        </w:rPr>
        <w:t>není</w:t>
      </w:r>
      <w:proofErr w:type="gramEnd"/>
      <w:r w:rsidRPr="005E2B83">
        <w:rPr>
          <w:rFonts w:ascii="Book Antiqua" w:hAnsi="Book Antiqua"/>
          <w:sz w:val="22"/>
          <w:szCs w:val="22"/>
        </w:rPr>
        <w:t>–</w:t>
      </w:r>
      <w:proofErr w:type="spellStart"/>
      <w:proofErr w:type="gramStart"/>
      <w:r w:rsidRPr="005E2B83">
        <w:rPr>
          <w:rFonts w:ascii="Book Antiqua" w:hAnsi="Book Antiqua"/>
          <w:sz w:val="22"/>
          <w:szCs w:val="22"/>
        </w:rPr>
        <w:t>li</w:t>
      </w:r>
      <w:proofErr w:type="spellEnd"/>
      <w:proofErr w:type="gramEnd"/>
      <w:r w:rsidRPr="005E2B83">
        <w:rPr>
          <w:rFonts w:ascii="Book Antiqua" w:hAnsi="Book Antiqua"/>
          <w:sz w:val="22"/>
          <w:szCs w:val="22"/>
        </w:rPr>
        <w:t xml:space="preserve"> to možné, je povinen poskytnout příjemci přiměřenou slevu za služby. </w:t>
      </w:r>
    </w:p>
    <w:p w:rsidR="008F7690" w:rsidRPr="005E2B83" w:rsidRDefault="008F7690" w:rsidP="008F7690">
      <w:pPr>
        <w:suppressAutoHyphens/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numPr>
          <w:ilvl w:val="1"/>
          <w:numId w:val="6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Jakoukoliv reklamaci ohledně kvality poskytnutých služeb musí příjemce uplatnit v předávacím protokolu.</w:t>
      </w:r>
    </w:p>
    <w:p w:rsidR="008F7690" w:rsidRPr="005E2B83" w:rsidRDefault="008F7690" w:rsidP="008F7690">
      <w:pPr>
        <w:suppressAutoHyphens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numPr>
          <w:ilvl w:val="1"/>
          <w:numId w:val="6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Vznikne-li porušením povinností ze strany poskytovatele příjemci škoda, postupuje se podle příslušných ustanovení obchodního zákoníku.</w:t>
      </w:r>
    </w:p>
    <w:p w:rsidR="008F7690" w:rsidRPr="005E2B83" w:rsidRDefault="008F7690" w:rsidP="008F7690">
      <w:pPr>
        <w:suppressAutoHyphens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numPr>
          <w:ilvl w:val="0"/>
          <w:numId w:val="6"/>
        </w:numPr>
        <w:suppressAutoHyphens/>
        <w:jc w:val="both"/>
        <w:rPr>
          <w:rFonts w:ascii="Book Antiqua" w:hAnsi="Book Antiqua"/>
          <w:b/>
          <w:sz w:val="22"/>
          <w:szCs w:val="22"/>
        </w:rPr>
      </w:pPr>
      <w:r w:rsidRPr="005E2B83">
        <w:rPr>
          <w:rFonts w:ascii="Book Antiqua" w:hAnsi="Book Antiqua"/>
          <w:b/>
          <w:sz w:val="22"/>
          <w:szCs w:val="22"/>
        </w:rPr>
        <w:t>OSTATNÍ, SPOLEČNÁ A ZÁVĚREČNÁ USTANOVENÍ</w:t>
      </w:r>
    </w:p>
    <w:p w:rsidR="008F7690" w:rsidRPr="005E2B83" w:rsidRDefault="008F7690" w:rsidP="008F7690">
      <w:pPr>
        <w:suppressAutoHyphens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:rsidR="008F7690" w:rsidRPr="005E2B83" w:rsidRDefault="008F7690" w:rsidP="008F7690">
      <w:pPr>
        <w:numPr>
          <w:ilvl w:val="1"/>
          <w:numId w:val="6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Poskytovatel se zavazuje umožnit všem subjektům oprávněným k výkonu kontroly projektu, z jehož prostředků je dodávka hrazena, provést kontrolu dokladů souvisejících s plněním této zakázky, a to po dobu danou právními předpisy ČR k </w:t>
      </w:r>
      <w:r w:rsidRPr="005E2B83">
        <w:rPr>
          <w:rFonts w:ascii="Book Antiqua" w:hAnsi="Book Antiqua"/>
          <w:sz w:val="22"/>
          <w:szCs w:val="22"/>
        </w:rPr>
        <w:lastRenderedPageBreak/>
        <w:t xml:space="preserve">jejich archivaci (zákon č. 563/1991 Sb., o účetnictví, a zákon č. 235/2004 Sb., o dani z přidané hodnoty), nejméně však do roku </w:t>
      </w:r>
      <w:smartTag w:uri="urn:schemas-microsoft-com:office:smarttags" w:element="metricconverter">
        <w:smartTagPr>
          <w:attr w:name="ProductID" w:val="2025 a"/>
        </w:smartTagPr>
        <w:r w:rsidRPr="005E2B83">
          <w:rPr>
            <w:rFonts w:ascii="Book Antiqua" w:hAnsi="Book Antiqua"/>
            <w:sz w:val="22"/>
            <w:szCs w:val="22"/>
          </w:rPr>
          <w:t>2025 a</w:t>
        </w:r>
      </w:smartTag>
      <w:r w:rsidRPr="005E2B83">
        <w:rPr>
          <w:rFonts w:ascii="Book Antiqua" w:hAnsi="Book Antiqua"/>
          <w:sz w:val="22"/>
          <w:szCs w:val="22"/>
        </w:rPr>
        <w:t xml:space="preserve"> po tuto dobu doklady související s plněním této zakázky archivovat.</w:t>
      </w:r>
    </w:p>
    <w:p w:rsidR="008F7690" w:rsidRPr="005E2B83" w:rsidRDefault="008F7690" w:rsidP="008F7690">
      <w:pPr>
        <w:suppressAutoHyphens/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numPr>
          <w:ilvl w:val="1"/>
          <w:numId w:val="6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Smlouva se řídí právním řádem České republiky a smluvní strany dohodly, že právní vztahy založené smlouvou se řídí ustanoveními obchodního zákoníku.</w:t>
      </w:r>
    </w:p>
    <w:p w:rsidR="00A20AD8" w:rsidRPr="005E2B83" w:rsidRDefault="00A20AD8" w:rsidP="00A20AD8">
      <w:pPr>
        <w:suppressAutoHyphens/>
        <w:ind w:left="792"/>
        <w:jc w:val="both"/>
        <w:rPr>
          <w:rFonts w:ascii="Book Antiqua" w:hAnsi="Book Antiqua"/>
          <w:sz w:val="22"/>
          <w:szCs w:val="22"/>
        </w:rPr>
      </w:pPr>
    </w:p>
    <w:p w:rsidR="00D543FB" w:rsidRDefault="008F7690" w:rsidP="005826E8">
      <w:pPr>
        <w:numPr>
          <w:ilvl w:val="1"/>
          <w:numId w:val="6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 xml:space="preserve">Součástí smlouvy je zadávací dokumentace a nabídka poskytovatele k veřejné zakázce </w:t>
      </w:r>
      <w:r w:rsidR="005826E8" w:rsidRPr="005826E8">
        <w:rPr>
          <w:rFonts w:ascii="Book Antiqua" w:hAnsi="Book Antiqua"/>
          <w:caps/>
          <w:sz w:val="22"/>
          <w:szCs w:val="22"/>
        </w:rPr>
        <w:t>Zajištění adaptačních kurzů - ubytování a stravné</w:t>
      </w:r>
      <w:r w:rsidRPr="005E2B83">
        <w:rPr>
          <w:rFonts w:ascii="Book Antiqua" w:hAnsi="Book Antiqua"/>
          <w:sz w:val="22"/>
          <w:szCs w:val="22"/>
        </w:rPr>
        <w:t>, podle nichž budou posuzována práva a závazky výslovně ve smlouvě neupravené. V případě rozporu mezi smluvními ujednáními a zadávací dokumentací, resp. nabídkou poskytovatele, které by mělo za následek znevýhodnění příjemce, nebo jakoukoli újmu na jeho právech oproti zadávací dokumentace, resp. nabídce poskytovatele, se bude obsah práv a povinností řídit vždy úpravou v zadávací dokumentaci, resp. nabídce poskytovatele.</w:t>
      </w:r>
    </w:p>
    <w:p w:rsidR="008F7690" w:rsidRPr="005E2B83" w:rsidRDefault="008F7690" w:rsidP="00C7581C">
      <w:pPr>
        <w:suppressAutoHyphens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numPr>
          <w:ilvl w:val="1"/>
          <w:numId w:val="6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Smlouva bude vyhotovena ve čtyřech výtiscích, z nich dva obdrží příjemce a dva poskytovatel.</w:t>
      </w:r>
      <w:r w:rsidRPr="005E2B83">
        <w:rPr>
          <w:rFonts w:ascii="Book Antiqua" w:hAnsi="Book Antiqua"/>
          <w:sz w:val="22"/>
          <w:szCs w:val="22"/>
        </w:rPr>
        <w:br/>
      </w:r>
    </w:p>
    <w:p w:rsidR="008F7690" w:rsidRPr="005E2B83" w:rsidRDefault="008F7690" w:rsidP="008F7690">
      <w:pPr>
        <w:numPr>
          <w:ilvl w:val="1"/>
          <w:numId w:val="6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Tuto smlouvu lze měnit nebo doplňovat pouze písemnou formou a jakákoliv změna či doplnění smlouvy musí být výslovně nazvána dodatek ke smlouvě, pořadově očíslovaný a potvrzený oprávněnými osobami smluvních stran.</w:t>
      </w:r>
    </w:p>
    <w:p w:rsidR="008F7690" w:rsidRPr="005E2B83" w:rsidRDefault="008F7690" w:rsidP="008F7690">
      <w:pPr>
        <w:suppressAutoHyphens/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Default="008F7690" w:rsidP="008F7690">
      <w:pPr>
        <w:numPr>
          <w:ilvl w:val="1"/>
          <w:numId w:val="6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Smlouva nabývá platnosti a účinnosti dnem podpisu oprávněnými osobami smluvních stran.</w:t>
      </w:r>
    </w:p>
    <w:p w:rsidR="00156306" w:rsidRDefault="00156306" w:rsidP="00156306">
      <w:pPr>
        <w:pStyle w:val="Odstavecseseznamem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suppressAutoHyphens/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ind w:left="360"/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C86D95" w:rsidP="008F769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 Varnsdorfu</w:t>
      </w:r>
      <w:r w:rsidR="008F7690" w:rsidRPr="005E2B83">
        <w:rPr>
          <w:rFonts w:ascii="Book Antiqua" w:hAnsi="Book Antiqua"/>
          <w:sz w:val="22"/>
          <w:szCs w:val="22"/>
        </w:rPr>
        <w:t xml:space="preserve"> dne …………</w:t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tab/>
        <w:t>V</w:t>
      </w:r>
      <w:r w:rsidR="00660E87">
        <w:rPr>
          <w:rFonts w:ascii="Book Antiqua" w:hAnsi="Book Antiqua"/>
          <w:sz w:val="22"/>
          <w:szCs w:val="22"/>
        </w:rPr>
        <w:t> </w:t>
      </w:r>
      <w:r w:rsidR="00660E87" w:rsidRPr="00660E87">
        <w:rPr>
          <w:rFonts w:ascii="Book Antiqua" w:hAnsi="Book Antiqua"/>
          <w:sz w:val="22"/>
          <w:szCs w:val="22"/>
          <w:highlight w:val="yellow"/>
        </w:rPr>
        <w:t>doplní uchazeč</w:t>
      </w:r>
      <w:r w:rsidR="008F7690" w:rsidRPr="005E2B83">
        <w:rPr>
          <w:rFonts w:ascii="Book Antiqua" w:hAnsi="Book Antiqua"/>
          <w:sz w:val="22"/>
          <w:szCs w:val="22"/>
        </w:rPr>
        <w:t xml:space="preserve"> dne </w:t>
      </w:r>
      <w:r w:rsidR="00660E87" w:rsidRPr="00660E87">
        <w:rPr>
          <w:rFonts w:ascii="Book Antiqua" w:hAnsi="Book Antiqua"/>
          <w:sz w:val="22"/>
          <w:szCs w:val="22"/>
          <w:highlight w:val="yellow"/>
        </w:rPr>
        <w:t>doplní uchazeč</w:t>
      </w:r>
    </w:p>
    <w:p w:rsidR="008F7690" w:rsidRPr="005E2B83" w:rsidRDefault="008F7690" w:rsidP="008F7690">
      <w:pPr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jc w:val="both"/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rPr>
          <w:rFonts w:ascii="Book Antiqua" w:hAnsi="Book Antiqua"/>
          <w:sz w:val="22"/>
          <w:szCs w:val="22"/>
        </w:rPr>
      </w:pPr>
    </w:p>
    <w:p w:rsidR="008F7690" w:rsidRPr="005E2B83" w:rsidRDefault="008F7690" w:rsidP="008F7690">
      <w:pPr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…………………………………</w:t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tab/>
        <w:t>…………………………………….</w:t>
      </w:r>
    </w:p>
    <w:p w:rsidR="008F7690" w:rsidRPr="005E2B83" w:rsidRDefault="008F7690" w:rsidP="008F7690">
      <w:pPr>
        <w:ind w:firstLine="708"/>
        <w:rPr>
          <w:rFonts w:ascii="Book Antiqua" w:hAnsi="Book Antiqua"/>
          <w:sz w:val="22"/>
          <w:szCs w:val="22"/>
        </w:rPr>
      </w:pPr>
      <w:r w:rsidRPr="005E2B83">
        <w:rPr>
          <w:rFonts w:ascii="Book Antiqua" w:hAnsi="Book Antiqua"/>
          <w:sz w:val="22"/>
          <w:szCs w:val="22"/>
        </w:rPr>
        <w:t>příjemce</w:t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tab/>
      </w:r>
      <w:r w:rsidRPr="005E2B83">
        <w:rPr>
          <w:rFonts w:ascii="Book Antiqua" w:hAnsi="Book Antiqua"/>
          <w:sz w:val="22"/>
          <w:szCs w:val="22"/>
        </w:rPr>
        <w:tab/>
        <w:t>poskytovatel</w:t>
      </w:r>
    </w:p>
    <w:p w:rsidR="008F7690" w:rsidRPr="00660E87" w:rsidRDefault="00B36A39" w:rsidP="00A20AD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B36A39">
        <w:rPr>
          <w:rFonts w:ascii="Book Antiqua" w:hAnsi="Book Antiqua"/>
          <w:sz w:val="22"/>
          <w:szCs w:val="22"/>
        </w:rPr>
        <w:t>Ing. Petr Jakubec</w:t>
      </w:r>
      <w:r>
        <w:rPr>
          <w:rFonts w:ascii="Book Antiqua" w:hAnsi="Book Antiqua"/>
          <w:sz w:val="22"/>
          <w:szCs w:val="22"/>
        </w:rPr>
        <w:t xml:space="preserve">                             </w:t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660E87">
        <w:rPr>
          <w:rFonts w:ascii="Book Antiqua" w:hAnsi="Book Antiqua"/>
          <w:sz w:val="22"/>
          <w:szCs w:val="22"/>
          <w:highlight w:val="yellow"/>
        </w:rPr>
        <w:t>(jméno, příjmení, funkce, firma, podpis</w:t>
      </w:r>
    </w:p>
    <w:p w:rsidR="00727704" w:rsidRPr="005E2B83" w:rsidRDefault="00A20AD8" w:rsidP="00C7581C">
      <w:pPr>
        <w:ind w:firstLine="708"/>
        <w:rPr>
          <w:rFonts w:ascii="Book Antiqua" w:hAnsi="Book Antiqua"/>
        </w:rPr>
      </w:pPr>
      <w:r w:rsidRPr="005E2B83">
        <w:rPr>
          <w:rFonts w:ascii="Book Antiqua" w:hAnsi="Book Antiqua"/>
          <w:sz w:val="22"/>
          <w:szCs w:val="22"/>
        </w:rPr>
        <w:t>ředitel</w:t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tab/>
      </w:r>
      <w:bookmarkStart w:id="0" w:name="_GoBack"/>
      <w:bookmarkEnd w:id="0"/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8F7690" w:rsidRPr="005E2B83">
        <w:rPr>
          <w:rFonts w:ascii="Book Antiqua" w:hAnsi="Book Antiqua"/>
          <w:sz w:val="22"/>
          <w:szCs w:val="22"/>
        </w:rPr>
        <w:tab/>
      </w:r>
      <w:r w:rsidR="00660E87" w:rsidRPr="00660E87">
        <w:rPr>
          <w:rFonts w:ascii="Book Antiqua" w:hAnsi="Book Antiqua"/>
          <w:sz w:val="22"/>
          <w:szCs w:val="22"/>
          <w:highlight w:val="yellow"/>
        </w:rPr>
        <w:t>doplní uchazeč)</w:t>
      </w:r>
    </w:p>
    <w:sectPr w:rsidR="00727704" w:rsidRPr="005E2B83" w:rsidSect="005A37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E8" w:rsidRDefault="005826E8" w:rsidP="00A20AD8">
      <w:r>
        <w:separator/>
      </w:r>
    </w:p>
  </w:endnote>
  <w:endnote w:type="continuationSeparator" w:id="0">
    <w:p w:rsidR="005826E8" w:rsidRDefault="005826E8" w:rsidP="00A2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E8" w:rsidRPr="004F0EA2" w:rsidRDefault="005826E8" w:rsidP="004F0EA2">
    <w:pPr>
      <w:tabs>
        <w:tab w:val="center" w:pos="4536"/>
        <w:tab w:val="right" w:pos="9072"/>
      </w:tabs>
      <w:rPr>
        <w:rFonts w:ascii="Arial" w:eastAsia="Calibri" w:hAnsi="Arial"/>
        <w:sz w:val="22"/>
        <w:szCs w:val="22"/>
        <w:lang w:eastAsia="en-US"/>
      </w:rPr>
    </w:pPr>
    <w:r w:rsidRPr="004F0EA2">
      <w:rPr>
        <w:rFonts w:ascii="Arial" w:eastAsia="Calibri" w:hAnsi="Arial"/>
        <w:sz w:val="22"/>
        <w:szCs w:val="22"/>
        <w:lang w:eastAsia="en-US"/>
      </w:rPr>
      <w:t xml:space="preserve">Vyšší odborná škola a Střední škola, </w:t>
    </w:r>
    <w:proofErr w:type="gramStart"/>
    <w:r w:rsidRPr="004F0EA2">
      <w:rPr>
        <w:rFonts w:ascii="Arial" w:eastAsia="Calibri" w:hAnsi="Arial"/>
        <w:sz w:val="22"/>
        <w:szCs w:val="22"/>
        <w:lang w:eastAsia="en-US"/>
      </w:rPr>
      <w:t>Varnsdorf,             Učíme</w:t>
    </w:r>
    <w:proofErr w:type="gramEnd"/>
    <w:r w:rsidRPr="004F0EA2">
      <w:rPr>
        <w:rFonts w:ascii="Arial" w:eastAsia="Calibri" w:hAnsi="Arial"/>
        <w:sz w:val="22"/>
        <w:szCs w:val="22"/>
        <w:lang w:eastAsia="en-US"/>
      </w:rPr>
      <w:t xml:space="preserve"> se za školou         příspěvková organizace                                                   Oblast podpory 1.2 – Rovné          </w:t>
    </w:r>
  </w:p>
  <w:p w:rsidR="005826E8" w:rsidRPr="004F0EA2" w:rsidRDefault="005826E8" w:rsidP="004F0EA2">
    <w:pPr>
      <w:tabs>
        <w:tab w:val="center" w:pos="4536"/>
        <w:tab w:val="right" w:pos="9072"/>
      </w:tabs>
      <w:rPr>
        <w:rFonts w:ascii="Arial" w:eastAsia="Calibri" w:hAnsi="Arial"/>
        <w:sz w:val="22"/>
        <w:szCs w:val="22"/>
        <w:lang w:eastAsia="en-US"/>
      </w:rPr>
    </w:pPr>
    <w:r w:rsidRPr="004F0EA2">
      <w:rPr>
        <w:rFonts w:ascii="Arial" w:eastAsia="Calibri" w:hAnsi="Arial"/>
        <w:sz w:val="22"/>
        <w:szCs w:val="22"/>
        <w:lang w:eastAsia="en-US"/>
      </w:rPr>
      <w:t xml:space="preserve">Bratislavská 2166, </w:t>
    </w:r>
    <w:proofErr w:type="gramStart"/>
    <w:r w:rsidRPr="004F0EA2">
      <w:rPr>
        <w:rFonts w:ascii="Arial" w:eastAsia="Calibri" w:hAnsi="Arial"/>
        <w:sz w:val="22"/>
        <w:szCs w:val="22"/>
        <w:lang w:eastAsia="en-US"/>
      </w:rPr>
      <w:t>407 47  Varnsdorf</w:t>
    </w:r>
    <w:proofErr w:type="gramEnd"/>
    <w:r w:rsidRPr="004F0EA2">
      <w:rPr>
        <w:rFonts w:ascii="Arial" w:eastAsia="Calibri" w:hAnsi="Arial"/>
        <w:sz w:val="22"/>
        <w:szCs w:val="22"/>
        <w:lang w:eastAsia="en-US"/>
      </w:rPr>
      <w:t xml:space="preserve">                              příležitosti dětí a žáků se speciálními      </w:t>
    </w:r>
  </w:p>
  <w:p w:rsidR="005826E8" w:rsidRPr="004F0EA2" w:rsidRDefault="005826E8" w:rsidP="004F0EA2">
    <w:pPr>
      <w:tabs>
        <w:tab w:val="center" w:pos="4536"/>
        <w:tab w:val="right" w:pos="9072"/>
      </w:tabs>
      <w:rPr>
        <w:rFonts w:ascii="Arial" w:eastAsia="Calibri" w:hAnsi="Arial"/>
        <w:sz w:val="22"/>
        <w:szCs w:val="22"/>
        <w:lang w:eastAsia="en-US"/>
      </w:rPr>
    </w:pPr>
    <w:r w:rsidRPr="004F0EA2">
      <w:rPr>
        <w:rFonts w:ascii="Arial" w:eastAsia="Calibri" w:hAnsi="Arial"/>
        <w:sz w:val="22"/>
        <w:szCs w:val="22"/>
        <w:lang w:eastAsia="en-US"/>
      </w:rPr>
      <w:t>IČ:</w:t>
    </w:r>
    <w:proofErr w:type="gramStart"/>
    <w:r w:rsidRPr="004F0EA2">
      <w:rPr>
        <w:rFonts w:ascii="Arial" w:eastAsia="Calibri" w:hAnsi="Arial"/>
        <w:sz w:val="22"/>
        <w:szCs w:val="22"/>
        <w:lang w:eastAsia="en-US"/>
      </w:rPr>
      <w:t>18383874                                                                    vzdělávacími</w:t>
    </w:r>
    <w:proofErr w:type="gramEnd"/>
    <w:r w:rsidRPr="004F0EA2">
      <w:rPr>
        <w:rFonts w:ascii="Arial" w:eastAsia="Calibri" w:hAnsi="Arial"/>
        <w:sz w:val="22"/>
        <w:szCs w:val="22"/>
        <w:lang w:eastAsia="en-US"/>
      </w:rPr>
      <w:t xml:space="preserve"> potřebami</w:t>
    </w:r>
  </w:p>
  <w:p w:rsidR="005826E8" w:rsidRPr="004F0EA2" w:rsidRDefault="005826E8" w:rsidP="004F0EA2">
    <w:pPr>
      <w:tabs>
        <w:tab w:val="center" w:pos="4536"/>
        <w:tab w:val="right" w:pos="9072"/>
      </w:tabs>
      <w:rPr>
        <w:rFonts w:ascii="Arial" w:eastAsia="Calibri" w:hAnsi="Arial"/>
        <w:sz w:val="22"/>
        <w:szCs w:val="22"/>
        <w:lang w:eastAsia="en-US"/>
      </w:rPr>
    </w:pPr>
    <w:r w:rsidRPr="004F0EA2">
      <w:rPr>
        <w:rFonts w:ascii="Arial" w:eastAsia="Calibri" w:hAnsi="Arial"/>
        <w:sz w:val="22"/>
        <w:szCs w:val="22"/>
        <w:lang w:eastAsia="en-US"/>
      </w:rPr>
      <w:t xml:space="preserve">                                                                                         CZ.1.07/1.2.35/01.0015</w:t>
    </w:r>
  </w:p>
  <w:p w:rsidR="005826E8" w:rsidRPr="004F0EA2" w:rsidRDefault="005826E8" w:rsidP="004F0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E8" w:rsidRDefault="005826E8" w:rsidP="00A20AD8">
      <w:r>
        <w:separator/>
      </w:r>
    </w:p>
  </w:footnote>
  <w:footnote w:type="continuationSeparator" w:id="0">
    <w:p w:rsidR="005826E8" w:rsidRDefault="005826E8" w:rsidP="00A2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E8" w:rsidRPr="00E64A33" w:rsidRDefault="005826E8" w:rsidP="00E64A33">
    <w:pPr>
      <w:tabs>
        <w:tab w:val="center" w:pos="4536"/>
        <w:tab w:val="right" w:pos="9072"/>
      </w:tabs>
      <w:rPr>
        <w:noProof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4853305</wp:posOffset>
          </wp:positionH>
          <wp:positionV relativeFrom="paragraph">
            <wp:posOffset>-22860</wp:posOffset>
          </wp:positionV>
          <wp:extent cx="809625" cy="927735"/>
          <wp:effectExtent l="0" t="0" r="9525" b="5715"/>
          <wp:wrapNone/>
          <wp:docPr id="3" name="Obrázek 3" descr="logo 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inline distT="0" distB="0" distL="0" distR="0">
          <wp:extent cx="4972050" cy="11906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1EA43D92"/>
    <w:multiLevelType w:val="multilevel"/>
    <w:tmpl w:val="98046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">
    <w:nsid w:val="28643ADE"/>
    <w:multiLevelType w:val="hybridMultilevel"/>
    <w:tmpl w:val="3FF4F500"/>
    <w:lvl w:ilvl="0" w:tplc="FC02A0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CF2F59"/>
    <w:multiLevelType w:val="hybridMultilevel"/>
    <w:tmpl w:val="F7F89FCC"/>
    <w:lvl w:ilvl="0" w:tplc="4B6277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BC7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4B2F1E98"/>
    <w:multiLevelType w:val="multilevel"/>
    <w:tmpl w:val="DF9612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5D391C9F"/>
    <w:multiLevelType w:val="multilevel"/>
    <w:tmpl w:val="C91855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611943F6"/>
    <w:multiLevelType w:val="multilevel"/>
    <w:tmpl w:val="29C61B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751B4BAB"/>
    <w:multiLevelType w:val="multilevel"/>
    <w:tmpl w:val="9DA2DC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9546D3B"/>
    <w:multiLevelType w:val="multilevel"/>
    <w:tmpl w:val="715C55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90"/>
    <w:rsid w:val="0007173B"/>
    <w:rsid w:val="00086BB0"/>
    <w:rsid w:val="0009377D"/>
    <w:rsid w:val="000C639B"/>
    <w:rsid w:val="001247E9"/>
    <w:rsid w:val="00156306"/>
    <w:rsid w:val="001607F1"/>
    <w:rsid w:val="002501BF"/>
    <w:rsid w:val="0026713F"/>
    <w:rsid w:val="003C6483"/>
    <w:rsid w:val="00476595"/>
    <w:rsid w:val="0047790A"/>
    <w:rsid w:val="004F0EA2"/>
    <w:rsid w:val="005072CA"/>
    <w:rsid w:val="005826E8"/>
    <w:rsid w:val="005A37CA"/>
    <w:rsid w:val="005E2B83"/>
    <w:rsid w:val="00660E87"/>
    <w:rsid w:val="006913AD"/>
    <w:rsid w:val="006E02C4"/>
    <w:rsid w:val="00727704"/>
    <w:rsid w:val="00742102"/>
    <w:rsid w:val="007A5A03"/>
    <w:rsid w:val="00831F65"/>
    <w:rsid w:val="0089464D"/>
    <w:rsid w:val="008F7690"/>
    <w:rsid w:val="00917DA0"/>
    <w:rsid w:val="009C3C5D"/>
    <w:rsid w:val="009F571E"/>
    <w:rsid w:val="00A20AD8"/>
    <w:rsid w:val="00AC41A0"/>
    <w:rsid w:val="00B36A39"/>
    <w:rsid w:val="00BA5460"/>
    <w:rsid w:val="00BC4D4E"/>
    <w:rsid w:val="00C01C3A"/>
    <w:rsid w:val="00C7581C"/>
    <w:rsid w:val="00C86D95"/>
    <w:rsid w:val="00CE6667"/>
    <w:rsid w:val="00D543FB"/>
    <w:rsid w:val="00D7690B"/>
    <w:rsid w:val="00DE5800"/>
    <w:rsid w:val="00E64A33"/>
    <w:rsid w:val="00FF4409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7690"/>
    <w:rPr>
      <w:color w:val="0000FF"/>
      <w:u w:val="single"/>
    </w:rPr>
  </w:style>
  <w:style w:type="paragraph" w:styleId="Zpat">
    <w:name w:val="footer"/>
    <w:basedOn w:val="Normln"/>
    <w:link w:val="ZpatChar"/>
    <w:rsid w:val="008F7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76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F769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76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C">
    <w:name w:val="ClanekC"/>
    <w:rsid w:val="008F7690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2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0A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0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AD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6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64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7690"/>
    <w:rPr>
      <w:color w:val="0000FF"/>
      <w:u w:val="single"/>
    </w:rPr>
  </w:style>
  <w:style w:type="paragraph" w:styleId="Zpat">
    <w:name w:val="footer"/>
    <w:basedOn w:val="Normln"/>
    <w:link w:val="ZpatChar"/>
    <w:rsid w:val="008F7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76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F769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76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C">
    <w:name w:val="ClanekC"/>
    <w:rsid w:val="008F7690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2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0A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0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AD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6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64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.cernohous@sosvdf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4C60-F33F-4619-A496-CD54A121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2124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 Marek</dc:creator>
  <cp:lastModifiedBy>Šnajdr Marek</cp:lastModifiedBy>
  <cp:revision>5</cp:revision>
  <dcterms:created xsi:type="dcterms:W3CDTF">2012-11-27T12:30:00Z</dcterms:created>
  <dcterms:modified xsi:type="dcterms:W3CDTF">2012-12-04T12:38:00Z</dcterms:modified>
</cp:coreProperties>
</file>