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00" w:rsidRDefault="00735200"/>
    <w:p w:rsidR="00AF4D60" w:rsidRDefault="00AF4D60"/>
    <w:p w:rsidR="00AF4D60" w:rsidRPr="00AF4D60" w:rsidRDefault="00AF4D60" w:rsidP="00AF4D60">
      <w:pPr>
        <w:jc w:val="center"/>
        <w:rPr>
          <w:b/>
          <w:sz w:val="32"/>
        </w:rPr>
      </w:pPr>
      <w:r w:rsidRPr="00AF4D60">
        <w:rPr>
          <w:b/>
          <w:sz w:val="32"/>
        </w:rPr>
        <w:t>Monitorovací indikátory</w:t>
      </w:r>
    </w:p>
    <w:p w:rsidR="00AF4D60" w:rsidRDefault="00AF4D60"/>
    <w:p w:rsidR="00735200" w:rsidRDefault="00735200">
      <w:r>
        <w:t xml:space="preserve">Monitorovací indikátory, jejichž nenaplněním může dojít </w:t>
      </w:r>
      <w:r w:rsidR="00DD3530">
        <w:t>dle §22 zákona č.250/200 Sb. k uložení odvodu za porušení rozpočtové kázně</w:t>
      </w:r>
      <w:r w:rsidR="00AF4D60">
        <w:t>:</w:t>
      </w:r>
    </w:p>
    <w:p w:rsidR="00735200" w:rsidRDefault="00735200"/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58"/>
        <w:gridCol w:w="557"/>
        <w:gridCol w:w="1689"/>
        <w:gridCol w:w="3279"/>
        <w:gridCol w:w="849"/>
        <w:gridCol w:w="883"/>
        <w:gridCol w:w="160"/>
        <w:gridCol w:w="1437"/>
      </w:tblGrid>
      <w:tr w:rsidR="00774B35" w:rsidRPr="00382C7D" w:rsidTr="00774B35">
        <w:trPr>
          <w:trHeight w:val="724"/>
        </w:trPr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78" w:rsidRPr="00B56078" w:rsidRDefault="00B56078" w:rsidP="00AF4D60">
            <w:pPr>
              <w:jc w:val="center"/>
              <w:rPr>
                <w:b/>
                <w:sz w:val="18"/>
                <w:szCs w:val="18"/>
              </w:rPr>
            </w:pPr>
            <w:r w:rsidRPr="00AF4D60">
              <w:rPr>
                <w:b/>
                <w:sz w:val="16"/>
                <w:szCs w:val="18"/>
              </w:rPr>
              <w:t>Kód indikátoru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078" w:rsidRPr="00B56078" w:rsidRDefault="00B56078" w:rsidP="00AF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indikátoru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078" w:rsidRPr="00B56078" w:rsidRDefault="00B56078" w:rsidP="00AF4D60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56078">
              <w:rPr>
                <w:b/>
                <w:sz w:val="18"/>
                <w:szCs w:val="18"/>
              </w:rPr>
              <w:t>efinice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078" w:rsidRPr="00AF4D60" w:rsidRDefault="00B56078" w:rsidP="00AF4D60">
            <w:pPr>
              <w:jc w:val="center"/>
              <w:rPr>
                <w:b/>
                <w:sz w:val="18"/>
                <w:szCs w:val="18"/>
              </w:rPr>
            </w:pPr>
            <w:r w:rsidRPr="00AF4D60">
              <w:rPr>
                <w:b/>
                <w:sz w:val="18"/>
                <w:szCs w:val="18"/>
              </w:rPr>
              <w:t>Měřící jednotka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078" w:rsidRPr="00B56078" w:rsidRDefault="00B56078" w:rsidP="00AF4D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Cílová hodnota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56078" w:rsidRPr="00B56078" w:rsidRDefault="00B56078" w:rsidP="00AF4D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078" w:rsidRPr="00B56078" w:rsidRDefault="00B56078" w:rsidP="00AF4D6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4B35" w:rsidRPr="00382C7D" w:rsidTr="00774B35">
        <w:trPr>
          <w:trHeight w:val="2142"/>
        </w:trPr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6078" w:rsidRPr="00B56078" w:rsidRDefault="00B56078" w:rsidP="00774B35">
            <w:pPr>
              <w:jc w:val="center"/>
              <w:rPr>
                <w:b/>
                <w:sz w:val="18"/>
                <w:szCs w:val="18"/>
              </w:rPr>
            </w:pPr>
            <w:r w:rsidRPr="00B56078">
              <w:rPr>
                <w:b/>
                <w:sz w:val="18"/>
                <w:szCs w:val="18"/>
              </w:rPr>
              <w:t>07.41.00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78" w:rsidRPr="00B56078" w:rsidRDefault="00B56078" w:rsidP="00774B35">
            <w:pPr>
              <w:jc w:val="center"/>
              <w:rPr>
                <w:b/>
                <w:sz w:val="18"/>
                <w:szCs w:val="18"/>
              </w:rPr>
            </w:pPr>
            <w:r w:rsidRPr="00B56078">
              <w:rPr>
                <w:b/>
                <w:sz w:val="18"/>
                <w:szCs w:val="18"/>
              </w:rPr>
              <w:t>Počet podpořených osob – celkem</w:t>
            </w:r>
          </w:p>
          <w:p w:rsidR="00B56078" w:rsidRPr="00382C7D" w:rsidRDefault="00B56078" w:rsidP="00774B35">
            <w:pPr>
              <w:jc w:val="center"/>
              <w:rPr>
                <w:sz w:val="18"/>
                <w:szCs w:val="18"/>
              </w:rPr>
            </w:pPr>
          </w:p>
          <w:p w:rsidR="00B56078" w:rsidRPr="00382C7D" w:rsidRDefault="00B56078" w:rsidP="00774B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8" w:rsidRPr="00382C7D" w:rsidRDefault="00B56078" w:rsidP="00B56078">
            <w:pPr>
              <w:jc w:val="both"/>
              <w:rPr>
                <w:sz w:val="18"/>
                <w:szCs w:val="18"/>
              </w:rPr>
            </w:pPr>
            <w:r w:rsidRPr="00B56078">
              <w:rPr>
                <w:sz w:val="16"/>
                <w:szCs w:val="18"/>
              </w:rPr>
              <w:t>Celkový počet osob, které v rámci projektu získaly jakoukoliv formu podpory; bez ohledu na počet poskytnutých podpor.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78" w:rsidRPr="00382C7D" w:rsidRDefault="00B56078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počet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078" w:rsidRPr="00B56078" w:rsidRDefault="00B56078" w:rsidP="00B560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078" w:rsidRPr="00B56078" w:rsidRDefault="00B56078" w:rsidP="00B560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78" w:rsidRPr="00C62208" w:rsidRDefault="00B56078" w:rsidP="00C62208">
            <w:pPr>
              <w:jc w:val="center"/>
              <w:rPr>
                <w:b/>
                <w:sz w:val="16"/>
                <w:szCs w:val="16"/>
              </w:rPr>
            </w:pPr>
            <w:r w:rsidRPr="00C62208">
              <w:rPr>
                <w:b/>
                <w:sz w:val="16"/>
                <w:szCs w:val="16"/>
              </w:rPr>
              <w:t>Závazná hodnota</w:t>
            </w:r>
            <w:r w:rsidR="00C62208" w:rsidRPr="00C62208">
              <w:rPr>
                <w:b/>
                <w:sz w:val="16"/>
                <w:szCs w:val="16"/>
              </w:rPr>
              <w:t xml:space="preserve"> </w:t>
            </w:r>
            <w:r w:rsidRPr="00C62208">
              <w:rPr>
                <w:sz w:val="16"/>
                <w:szCs w:val="16"/>
              </w:rPr>
              <w:t xml:space="preserve">je stanovena součtem monitorovacích </w:t>
            </w:r>
            <w:proofErr w:type="gramStart"/>
            <w:r w:rsidRPr="00C62208">
              <w:rPr>
                <w:sz w:val="16"/>
                <w:szCs w:val="16"/>
              </w:rPr>
              <w:t xml:space="preserve">indikátorů </w:t>
            </w:r>
            <w:r w:rsidR="00C62208" w:rsidRPr="00C62208">
              <w:rPr>
                <w:sz w:val="16"/>
                <w:szCs w:val="16"/>
              </w:rPr>
              <w:t xml:space="preserve"> </w:t>
            </w:r>
            <w:r w:rsidRPr="00C62208">
              <w:rPr>
                <w:sz w:val="16"/>
                <w:szCs w:val="16"/>
              </w:rPr>
              <w:t>07</w:t>
            </w:r>
            <w:r w:rsidR="00C62208" w:rsidRPr="00C62208">
              <w:rPr>
                <w:sz w:val="16"/>
                <w:szCs w:val="16"/>
              </w:rPr>
              <w:t>.</w:t>
            </w:r>
            <w:r w:rsidRPr="00C62208">
              <w:rPr>
                <w:sz w:val="16"/>
                <w:szCs w:val="16"/>
              </w:rPr>
              <w:t>41</w:t>
            </w:r>
            <w:r w:rsidR="00C62208" w:rsidRPr="00C62208">
              <w:rPr>
                <w:sz w:val="16"/>
                <w:szCs w:val="16"/>
              </w:rPr>
              <w:t>.</w:t>
            </w:r>
            <w:r w:rsidRPr="00C62208">
              <w:rPr>
                <w:sz w:val="16"/>
                <w:szCs w:val="16"/>
              </w:rPr>
              <w:t>01</w:t>
            </w:r>
            <w:proofErr w:type="gramEnd"/>
            <w:r w:rsidRPr="00C62208">
              <w:rPr>
                <w:sz w:val="16"/>
                <w:szCs w:val="16"/>
              </w:rPr>
              <w:t xml:space="preserve"> a 07</w:t>
            </w:r>
            <w:r w:rsidR="00C62208" w:rsidRPr="00C62208">
              <w:rPr>
                <w:sz w:val="16"/>
                <w:szCs w:val="16"/>
              </w:rPr>
              <w:t>.</w:t>
            </w:r>
            <w:r w:rsidRPr="00C62208">
              <w:rPr>
                <w:sz w:val="16"/>
                <w:szCs w:val="16"/>
              </w:rPr>
              <w:t>41</w:t>
            </w:r>
            <w:r w:rsidR="00C62208" w:rsidRPr="00C62208">
              <w:rPr>
                <w:sz w:val="16"/>
                <w:szCs w:val="16"/>
              </w:rPr>
              <w:t>.</w:t>
            </w:r>
            <w:r w:rsidRPr="00C62208">
              <w:rPr>
                <w:sz w:val="16"/>
                <w:szCs w:val="16"/>
              </w:rPr>
              <w:t>02</w:t>
            </w:r>
          </w:p>
        </w:tc>
      </w:tr>
      <w:tr w:rsidR="00774B35" w:rsidRPr="00382C7D" w:rsidTr="00774B35">
        <w:trPr>
          <w:trHeight w:val="2257"/>
        </w:trPr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6078" w:rsidRPr="00B56078" w:rsidRDefault="00B56078" w:rsidP="00774B35">
            <w:pPr>
              <w:jc w:val="center"/>
              <w:rPr>
                <w:b/>
                <w:sz w:val="18"/>
                <w:szCs w:val="18"/>
              </w:rPr>
            </w:pPr>
            <w:r w:rsidRPr="00B56078">
              <w:rPr>
                <w:b/>
                <w:sz w:val="18"/>
                <w:szCs w:val="18"/>
              </w:rPr>
              <w:t>07.46.00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78" w:rsidRPr="00B56078" w:rsidRDefault="00B56078" w:rsidP="00774B35">
            <w:pPr>
              <w:jc w:val="center"/>
              <w:rPr>
                <w:b/>
                <w:sz w:val="18"/>
                <w:szCs w:val="18"/>
              </w:rPr>
            </w:pPr>
            <w:r w:rsidRPr="00B56078">
              <w:rPr>
                <w:b/>
                <w:sz w:val="18"/>
                <w:szCs w:val="18"/>
              </w:rPr>
              <w:t>Počet úspěšně podpořených osob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8" w:rsidRPr="00382C7D" w:rsidRDefault="00B56078" w:rsidP="00B56078">
            <w:pPr>
              <w:jc w:val="both"/>
              <w:rPr>
                <w:sz w:val="18"/>
                <w:szCs w:val="18"/>
              </w:rPr>
            </w:pPr>
            <w:r w:rsidRPr="00B56078">
              <w:rPr>
                <w:sz w:val="16"/>
                <w:szCs w:val="18"/>
              </w:rPr>
              <w:t>Celkový počet úspěšně podpořených osob, které obdržely jednu nebo více podpor v rámci přijatých projektů, a které ukončily kurz/program/obor předepsaným způsobem. Podpora je jakákoliv aktivita financovaná z rozpočtu projektu, ze které mají cílové skupiny prospěch, podpora může mít formu např. vzdělávacího nebo rekvalifikačního kurzu, stáže, odborné konzultace, poradenství, výcviku, školení, odborné praxe apod. V případech, kdy je podpořené osobě poskytnuto více odlišných/na sebe nenavazujících podpor v rámci jednoho projektu, je tato osoba započítána tolikrát, kolik podpor jí bylo poskytnuto.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78" w:rsidRPr="00382C7D" w:rsidRDefault="00B56078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počet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078" w:rsidRPr="00382C7D" w:rsidRDefault="00B56078" w:rsidP="00774B35">
            <w:pPr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078" w:rsidRPr="00382C7D" w:rsidRDefault="00B56078" w:rsidP="00774B35">
            <w:pPr>
              <w:rPr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208" w:rsidRDefault="00B56078" w:rsidP="00B56078">
            <w:pPr>
              <w:jc w:val="center"/>
              <w:rPr>
                <w:sz w:val="16"/>
                <w:szCs w:val="16"/>
              </w:rPr>
            </w:pPr>
            <w:r w:rsidRPr="00C62208">
              <w:rPr>
                <w:b/>
                <w:sz w:val="16"/>
                <w:szCs w:val="16"/>
              </w:rPr>
              <w:t>Závazná hodnota</w:t>
            </w:r>
            <w:r w:rsidRPr="00C62208">
              <w:rPr>
                <w:sz w:val="16"/>
                <w:szCs w:val="16"/>
              </w:rPr>
              <w:t xml:space="preserve"> je stanovena součtem monitorovacích indikátorů </w:t>
            </w:r>
          </w:p>
          <w:p w:rsidR="00B56078" w:rsidRPr="00C62208" w:rsidRDefault="00B56078" w:rsidP="00B56078">
            <w:pPr>
              <w:jc w:val="center"/>
              <w:rPr>
                <w:sz w:val="16"/>
                <w:szCs w:val="16"/>
              </w:rPr>
            </w:pPr>
            <w:r w:rsidRPr="00C62208">
              <w:rPr>
                <w:sz w:val="16"/>
                <w:szCs w:val="16"/>
              </w:rPr>
              <w:t>07</w:t>
            </w:r>
            <w:r w:rsidR="00C62208" w:rsidRPr="00C62208">
              <w:rPr>
                <w:sz w:val="16"/>
                <w:szCs w:val="16"/>
              </w:rPr>
              <w:t>.</w:t>
            </w:r>
            <w:r w:rsidRPr="00C62208">
              <w:rPr>
                <w:sz w:val="16"/>
                <w:szCs w:val="16"/>
              </w:rPr>
              <w:t>46</w:t>
            </w:r>
            <w:r w:rsidR="00C62208" w:rsidRPr="00C62208">
              <w:rPr>
                <w:sz w:val="16"/>
                <w:szCs w:val="16"/>
              </w:rPr>
              <w:t>.</w:t>
            </w:r>
            <w:r w:rsidRPr="00C62208">
              <w:rPr>
                <w:sz w:val="16"/>
                <w:szCs w:val="16"/>
              </w:rPr>
              <w:t>01 a 07</w:t>
            </w:r>
            <w:r w:rsidR="00C62208" w:rsidRPr="00C62208">
              <w:rPr>
                <w:sz w:val="16"/>
                <w:szCs w:val="16"/>
              </w:rPr>
              <w:t>.</w:t>
            </w:r>
            <w:r w:rsidRPr="00C62208">
              <w:rPr>
                <w:sz w:val="16"/>
                <w:szCs w:val="16"/>
              </w:rPr>
              <w:t>46</w:t>
            </w:r>
            <w:r w:rsidR="00C62208" w:rsidRPr="00C62208">
              <w:rPr>
                <w:sz w:val="16"/>
                <w:szCs w:val="16"/>
              </w:rPr>
              <w:t>.</w:t>
            </w:r>
            <w:r w:rsidRPr="00C62208">
              <w:rPr>
                <w:sz w:val="16"/>
                <w:szCs w:val="16"/>
              </w:rPr>
              <w:t>02</w:t>
            </w:r>
          </w:p>
        </w:tc>
      </w:tr>
      <w:tr w:rsidR="00774B35" w:rsidRPr="00382C7D" w:rsidTr="00774B35">
        <w:trPr>
          <w:trHeight w:val="1250"/>
        </w:trPr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6078" w:rsidRPr="00B56078" w:rsidRDefault="00B56078" w:rsidP="00774B35">
            <w:pPr>
              <w:jc w:val="center"/>
              <w:rPr>
                <w:b/>
                <w:sz w:val="18"/>
                <w:szCs w:val="18"/>
              </w:rPr>
            </w:pPr>
            <w:r w:rsidRPr="00B56078">
              <w:rPr>
                <w:b/>
                <w:sz w:val="18"/>
                <w:szCs w:val="18"/>
              </w:rPr>
              <w:t>06.43.10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78" w:rsidRPr="00B56078" w:rsidRDefault="00B56078" w:rsidP="00774B35">
            <w:pPr>
              <w:jc w:val="center"/>
              <w:rPr>
                <w:b/>
                <w:sz w:val="18"/>
                <w:szCs w:val="18"/>
              </w:rPr>
            </w:pPr>
            <w:r w:rsidRPr="00B56078">
              <w:rPr>
                <w:b/>
                <w:sz w:val="18"/>
                <w:szCs w:val="18"/>
              </w:rPr>
              <w:t>Počet nově vytvořených/inovovaných produktů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8" w:rsidRPr="00B56078" w:rsidRDefault="00B56078" w:rsidP="00B56078">
            <w:pPr>
              <w:jc w:val="both"/>
              <w:rPr>
                <w:sz w:val="16"/>
                <w:szCs w:val="18"/>
              </w:rPr>
            </w:pPr>
            <w:r w:rsidRPr="00B56078">
              <w:rPr>
                <w:sz w:val="16"/>
                <w:szCs w:val="18"/>
              </w:rPr>
              <w:t>Počet nově vytvořených/inovovaných produktů, ve kterých změny v jejich cílech, obsahu, metodách a formách zvýšily jejich kvalitu (nové/inovované vzdělávací programy, vzdělávací moduly, studijní materiály, pilotní ověřování, analýzy, studie, syntézy, učební pomůcky, e-learningové kurzy, webové portály…)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78" w:rsidRPr="00B56078" w:rsidRDefault="00B56078" w:rsidP="00774B35">
            <w:pPr>
              <w:jc w:val="center"/>
              <w:rPr>
                <w:sz w:val="18"/>
                <w:szCs w:val="18"/>
              </w:rPr>
            </w:pPr>
            <w:r w:rsidRPr="00B56078">
              <w:rPr>
                <w:sz w:val="18"/>
                <w:szCs w:val="18"/>
              </w:rPr>
              <w:t>počet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078" w:rsidRPr="00DD3530" w:rsidRDefault="00B56078" w:rsidP="00DD3530">
            <w:pPr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078" w:rsidRPr="00DD3530" w:rsidRDefault="00B56078" w:rsidP="00DD3530">
            <w:pPr>
              <w:rPr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78" w:rsidRPr="00DD3530" w:rsidRDefault="00B56078" w:rsidP="00DD3530">
            <w:pPr>
              <w:rPr>
                <w:sz w:val="18"/>
                <w:szCs w:val="18"/>
              </w:rPr>
            </w:pPr>
          </w:p>
        </w:tc>
      </w:tr>
      <w:tr w:rsidR="00774B35" w:rsidRPr="00382C7D" w:rsidTr="00774B35">
        <w:trPr>
          <w:cantSplit/>
          <w:trHeight w:val="114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6078" w:rsidRPr="00382C7D" w:rsidRDefault="00B56078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z toho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6078" w:rsidRPr="00382C7D" w:rsidRDefault="00B56078" w:rsidP="00B5607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2C7D">
              <w:rPr>
                <w:b/>
                <w:sz w:val="18"/>
                <w:szCs w:val="18"/>
              </w:rPr>
              <w:t>06.43.12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78" w:rsidRPr="00382C7D" w:rsidRDefault="00B56078" w:rsidP="00774B35">
            <w:pPr>
              <w:jc w:val="center"/>
              <w:rPr>
                <w:b/>
                <w:sz w:val="18"/>
                <w:szCs w:val="18"/>
              </w:rPr>
            </w:pPr>
            <w:r w:rsidRPr="00382C7D">
              <w:rPr>
                <w:b/>
                <w:sz w:val="18"/>
                <w:szCs w:val="18"/>
              </w:rPr>
              <w:t>počet nově vytvořených/inovovaných produktů s komponentou ŽP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8" w:rsidRPr="00382C7D" w:rsidRDefault="00B56078" w:rsidP="00B56078">
            <w:pPr>
              <w:rPr>
                <w:sz w:val="18"/>
                <w:szCs w:val="18"/>
              </w:rPr>
            </w:pPr>
            <w:r w:rsidRPr="00B56078">
              <w:rPr>
                <w:sz w:val="16"/>
                <w:szCs w:val="18"/>
              </w:rPr>
              <w:t>Celkový</w:t>
            </w:r>
            <w:r>
              <w:rPr>
                <w:sz w:val="16"/>
                <w:szCs w:val="18"/>
              </w:rPr>
              <w:t xml:space="preserve"> </w:t>
            </w:r>
            <w:r w:rsidRPr="00B56078">
              <w:rPr>
                <w:sz w:val="16"/>
                <w:szCs w:val="18"/>
              </w:rPr>
              <w:t>počet nově</w:t>
            </w:r>
            <w:r>
              <w:rPr>
                <w:sz w:val="16"/>
                <w:szCs w:val="18"/>
              </w:rPr>
              <w:t xml:space="preserve"> v</w:t>
            </w:r>
            <w:r w:rsidRPr="00B56078">
              <w:rPr>
                <w:sz w:val="16"/>
                <w:szCs w:val="18"/>
              </w:rPr>
              <w:t>ytvořených</w:t>
            </w:r>
            <w:r>
              <w:rPr>
                <w:sz w:val="16"/>
                <w:szCs w:val="18"/>
              </w:rPr>
              <w:t xml:space="preserve"> </w:t>
            </w:r>
            <w:r w:rsidRPr="00B56078">
              <w:rPr>
                <w:sz w:val="16"/>
                <w:szCs w:val="18"/>
              </w:rPr>
              <w:t>/inovovaných produktů, ve kterých je problematice ŽP věnován tematický celek v rozsahu minimálně 15 - 20 % výuky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78" w:rsidRPr="00382C7D" w:rsidRDefault="00B56078" w:rsidP="00774B35">
            <w:pPr>
              <w:jc w:val="center"/>
              <w:rPr>
                <w:b/>
                <w:sz w:val="18"/>
                <w:szCs w:val="18"/>
              </w:rPr>
            </w:pPr>
            <w:r w:rsidRPr="00382C7D">
              <w:rPr>
                <w:b/>
                <w:sz w:val="18"/>
                <w:szCs w:val="18"/>
              </w:rPr>
              <w:t>počet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078" w:rsidRPr="00382C7D" w:rsidRDefault="00B56078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078" w:rsidRPr="00382C7D" w:rsidRDefault="00B56078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78" w:rsidRPr="00382C7D" w:rsidRDefault="00B56078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4B35" w:rsidRPr="00382C7D" w:rsidTr="00774B35">
        <w:trPr>
          <w:cantSplit/>
          <w:trHeight w:val="114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078" w:rsidRPr="00382C7D" w:rsidRDefault="00B56078" w:rsidP="00774B35">
            <w:pPr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6078" w:rsidRPr="00382C7D" w:rsidRDefault="00B56078" w:rsidP="00B5607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2C7D">
              <w:rPr>
                <w:b/>
                <w:sz w:val="18"/>
                <w:szCs w:val="18"/>
              </w:rPr>
              <w:t>06.43.13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78" w:rsidRPr="00382C7D" w:rsidRDefault="00B56078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b/>
                <w:sz w:val="18"/>
                <w:szCs w:val="18"/>
              </w:rPr>
              <w:t>počet nově vytvořených/inovovaných produktů s komponentou ICT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78" w:rsidRPr="00382C7D" w:rsidRDefault="00B56078" w:rsidP="00B56078">
            <w:pPr>
              <w:jc w:val="both"/>
              <w:rPr>
                <w:sz w:val="18"/>
                <w:szCs w:val="18"/>
              </w:rPr>
            </w:pPr>
            <w:r w:rsidRPr="00B56078">
              <w:rPr>
                <w:sz w:val="16"/>
                <w:szCs w:val="18"/>
              </w:rPr>
              <w:t xml:space="preserve">Celkový počet nově vytvořených/inovovaných produktů, ve kterých je problematice informačních technologií věnován tematický celek v rozsahu minimálně </w:t>
            </w:r>
            <w:smartTag w:uri="urn:schemas-microsoft-com:office:smarttags" w:element="metricconverter">
              <w:smartTagPr>
                <w:attr w:name="ProductID" w:val="40 a"/>
              </w:smartTagPr>
              <w:r w:rsidRPr="00B56078">
                <w:rPr>
                  <w:sz w:val="16"/>
                  <w:szCs w:val="18"/>
                </w:rPr>
                <w:t>40 a</w:t>
              </w:r>
            </w:smartTag>
            <w:r w:rsidRPr="00B56078">
              <w:rPr>
                <w:sz w:val="16"/>
                <w:szCs w:val="18"/>
              </w:rPr>
              <w:t xml:space="preserve"> více hodin.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078" w:rsidRPr="00382C7D" w:rsidRDefault="00B56078" w:rsidP="00774B35">
            <w:pPr>
              <w:jc w:val="center"/>
              <w:rPr>
                <w:b/>
                <w:sz w:val="18"/>
                <w:szCs w:val="18"/>
              </w:rPr>
            </w:pPr>
            <w:r w:rsidRPr="00382C7D">
              <w:rPr>
                <w:b/>
                <w:sz w:val="18"/>
                <w:szCs w:val="18"/>
              </w:rPr>
              <w:t>počet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078" w:rsidRPr="00382C7D" w:rsidRDefault="00B56078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6078" w:rsidRPr="00382C7D" w:rsidRDefault="00B56078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078" w:rsidRPr="00382C7D" w:rsidRDefault="00B56078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35200" w:rsidRDefault="00735200"/>
    <w:p w:rsidR="00774B35" w:rsidRDefault="00774B35" w:rsidP="00B56078"/>
    <w:p w:rsidR="00774B35" w:rsidRDefault="00774B35" w:rsidP="00B56078"/>
    <w:p w:rsidR="00774B35" w:rsidRDefault="00774B35" w:rsidP="00B56078"/>
    <w:p w:rsidR="00774B35" w:rsidRDefault="00774B35" w:rsidP="00B56078"/>
    <w:p w:rsidR="00774B35" w:rsidRDefault="00774B35" w:rsidP="00B56078"/>
    <w:p w:rsidR="00774B35" w:rsidRDefault="00774B35" w:rsidP="00B56078"/>
    <w:p w:rsidR="00774B35" w:rsidRDefault="00774B35" w:rsidP="00B56078"/>
    <w:p w:rsidR="00774B35" w:rsidRDefault="00774B35" w:rsidP="00B56078"/>
    <w:p w:rsidR="00B56078" w:rsidRDefault="00B56078" w:rsidP="00B56078">
      <w:pPr>
        <w:rPr>
          <w:sz w:val="22"/>
          <w:szCs w:val="22"/>
        </w:rPr>
      </w:pPr>
      <w:r w:rsidRPr="00774B35">
        <w:rPr>
          <w:sz w:val="22"/>
          <w:szCs w:val="22"/>
        </w:rPr>
        <w:t>Monitorovací indikátory, jejichž nenaplněním</w:t>
      </w:r>
      <w:r w:rsidR="00DD32D4" w:rsidRPr="00774B35">
        <w:rPr>
          <w:sz w:val="22"/>
          <w:szCs w:val="22"/>
        </w:rPr>
        <w:t xml:space="preserve"> </w:t>
      </w:r>
      <w:r w:rsidR="00AF4D60" w:rsidRPr="00774B35">
        <w:rPr>
          <w:sz w:val="22"/>
          <w:szCs w:val="22"/>
        </w:rPr>
        <w:t>nedochází</w:t>
      </w:r>
      <w:r w:rsidRPr="00774B35">
        <w:rPr>
          <w:sz w:val="22"/>
          <w:szCs w:val="22"/>
        </w:rPr>
        <w:t xml:space="preserve"> dle §22 zákona č.250/200 Sb. k uložení odvodu za porušení rozpočtové kázně</w:t>
      </w:r>
      <w:r w:rsidR="00AF4D60" w:rsidRPr="00774B35">
        <w:rPr>
          <w:sz w:val="22"/>
          <w:szCs w:val="22"/>
        </w:rPr>
        <w:t>. Příjemce je povinen tyto indikátory sledovat a vykazovat</w:t>
      </w:r>
      <w:r w:rsidR="00DD32D4" w:rsidRPr="00774B35">
        <w:rPr>
          <w:sz w:val="22"/>
          <w:szCs w:val="22"/>
        </w:rPr>
        <w:t>.</w:t>
      </w:r>
    </w:p>
    <w:p w:rsidR="00255DDB" w:rsidRPr="00774B35" w:rsidRDefault="00255DDB" w:rsidP="00B56078">
      <w:pPr>
        <w:rPr>
          <w:sz w:val="22"/>
          <w:szCs w:val="22"/>
        </w:rPr>
      </w:pP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876"/>
        <w:gridCol w:w="2159"/>
        <w:gridCol w:w="3131"/>
        <w:gridCol w:w="992"/>
        <w:gridCol w:w="850"/>
        <w:gridCol w:w="443"/>
        <w:gridCol w:w="975"/>
      </w:tblGrid>
      <w:tr w:rsidR="00255DDB" w:rsidRPr="00382C7D" w:rsidTr="00255DDB">
        <w:trPr>
          <w:trHeight w:val="72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5DDB" w:rsidRPr="00B56078" w:rsidRDefault="00255DDB" w:rsidP="006E31E7">
            <w:pPr>
              <w:jc w:val="center"/>
              <w:rPr>
                <w:b/>
                <w:sz w:val="18"/>
                <w:szCs w:val="18"/>
              </w:rPr>
            </w:pPr>
            <w:r w:rsidRPr="00AF4D60">
              <w:rPr>
                <w:b/>
                <w:sz w:val="16"/>
                <w:szCs w:val="18"/>
              </w:rPr>
              <w:t>Kód indikátoru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DDB" w:rsidRPr="00B56078" w:rsidRDefault="00255DDB" w:rsidP="006E31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indikátoru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DDB" w:rsidRPr="00B56078" w:rsidRDefault="00255DDB" w:rsidP="006E31E7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56078">
              <w:rPr>
                <w:b/>
                <w:sz w:val="18"/>
                <w:szCs w:val="18"/>
              </w:rPr>
              <w:t>efinice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DDB" w:rsidRPr="00AF4D60" w:rsidRDefault="00255DDB" w:rsidP="006E31E7">
            <w:pPr>
              <w:jc w:val="center"/>
              <w:rPr>
                <w:b/>
                <w:sz w:val="18"/>
                <w:szCs w:val="18"/>
              </w:rPr>
            </w:pPr>
            <w:r w:rsidRPr="00AF4D60">
              <w:rPr>
                <w:b/>
                <w:sz w:val="18"/>
                <w:szCs w:val="18"/>
              </w:rPr>
              <w:t>Měřící jednotka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DDB" w:rsidRPr="00B56078" w:rsidRDefault="00255DDB" w:rsidP="006E31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Cílová hodnota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DDB" w:rsidRPr="00B56078" w:rsidRDefault="00255DDB" w:rsidP="006E31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57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0" w:rsidRPr="00925CCB" w:rsidRDefault="00AF4D60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07.41.01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0" w:rsidRPr="00925CCB" w:rsidRDefault="00AF4D60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Počet podpořených osob - muži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D60" w:rsidRPr="00925CCB" w:rsidRDefault="00AF4D60" w:rsidP="00AF4D60">
            <w:pPr>
              <w:rPr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 </w:t>
            </w:r>
          </w:p>
          <w:p w:rsidR="00AF4D60" w:rsidRPr="00925CCB" w:rsidRDefault="00AF4D60" w:rsidP="00774B35">
            <w:pPr>
              <w:rPr>
                <w:sz w:val="16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0" w:rsidRPr="00925CCB" w:rsidRDefault="00AF4D60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počet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D60" w:rsidRPr="00382C7D" w:rsidRDefault="00AF4D60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0" w:rsidRPr="00382C7D" w:rsidRDefault="00AF4D60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565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0" w:rsidRPr="00925CCB" w:rsidRDefault="00AF4D60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07.41.02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0" w:rsidRPr="00925CCB" w:rsidRDefault="00AF4D60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Počet podpořených osob - ženy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D60" w:rsidRPr="00925CCB" w:rsidRDefault="00AF4D60" w:rsidP="00774B35">
            <w:pPr>
              <w:rPr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 </w:t>
            </w:r>
          </w:p>
          <w:p w:rsidR="00AF4D60" w:rsidRPr="00925CCB" w:rsidRDefault="00AF4D60" w:rsidP="00925CCB">
            <w:pPr>
              <w:rPr>
                <w:sz w:val="16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0" w:rsidRPr="00925CCB" w:rsidRDefault="00AF4D60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počet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D60" w:rsidRPr="00382C7D" w:rsidRDefault="00AF4D60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D60" w:rsidRPr="00382C7D" w:rsidRDefault="00AF4D60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60" w:rsidRPr="00382C7D" w:rsidRDefault="00AF4D60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57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925CCB" w:rsidRDefault="00925CCB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07.46.01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925CCB" w:rsidRDefault="00925CCB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Počet úspěšně podpořených osob - muži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CCB" w:rsidRPr="00925CCB" w:rsidRDefault="00925CCB" w:rsidP="00774B35">
            <w:pPr>
              <w:rPr>
                <w:sz w:val="16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925CCB" w:rsidRDefault="00925CCB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počet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41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925CCB" w:rsidRDefault="00925CCB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07.46.02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925CCB" w:rsidRDefault="00925CCB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Počet úspěšně podpořených osob - ženy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CCB" w:rsidRPr="00925CCB" w:rsidRDefault="00925CCB" w:rsidP="00774B35">
            <w:pPr>
              <w:rPr>
                <w:sz w:val="16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925CCB" w:rsidRDefault="00925CCB" w:rsidP="00774B35">
            <w:pPr>
              <w:jc w:val="center"/>
              <w:rPr>
                <w:sz w:val="18"/>
                <w:szCs w:val="18"/>
              </w:rPr>
            </w:pPr>
            <w:r w:rsidRPr="00925CCB">
              <w:rPr>
                <w:sz w:val="18"/>
                <w:szCs w:val="18"/>
              </w:rPr>
              <w:t>počet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4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1047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zaměstnaní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925CCB" w:rsidRDefault="00925CCB" w:rsidP="00774B35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Fyzické osoby závislé na příjmu na základě pracovního poměru nebo obdobného vztahu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CCB" w:rsidRPr="00BC1C6F" w:rsidRDefault="00925CCB" w:rsidP="00774B35">
            <w:pPr>
              <w:jc w:val="center"/>
              <w:rPr>
                <w:sz w:val="16"/>
                <w:szCs w:val="16"/>
              </w:rPr>
            </w:pPr>
            <w:r w:rsidRPr="00BC1C6F">
              <w:rPr>
                <w:sz w:val="16"/>
                <w:szCs w:val="16"/>
              </w:rPr>
              <w:t>počet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BC1C6F" w:rsidRDefault="00925CCB" w:rsidP="00774B35">
            <w:pPr>
              <w:jc w:val="center"/>
              <w:rPr>
                <w:b/>
                <w:sz w:val="16"/>
                <w:szCs w:val="16"/>
              </w:rPr>
            </w:pPr>
            <w:r w:rsidRPr="00BC1C6F">
              <w:rPr>
                <w:color w:val="000000"/>
                <w:sz w:val="16"/>
                <w:szCs w:val="16"/>
              </w:rPr>
              <w:t>Příjemce sleduje a vykazuje při realizaci grantového projektu</w:t>
            </w:r>
          </w:p>
        </w:tc>
      </w:tr>
      <w:tr w:rsidR="00255DDB" w:rsidRPr="0087526B" w:rsidTr="00255DDB">
        <w:trPr>
          <w:trHeight w:val="4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neaktivní osoby ve vzdělávání či odborné přípravě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925CCB" w:rsidRDefault="00925CCB" w:rsidP="00774B35">
            <w:pPr>
              <w:rPr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Část neaktivních osob, která se připravuje na výkon budoucího povolání</w:t>
            </w: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42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1187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774B35" w:rsidP="00774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mladí lidé 15–</w:t>
            </w:r>
            <w:r w:rsidR="00925CCB" w:rsidRPr="00382C7D">
              <w:rPr>
                <w:sz w:val="18"/>
                <w:szCs w:val="18"/>
              </w:rPr>
              <w:t>24 let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CCB" w:rsidRPr="00925CCB" w:rsidRDefault="00925CCB" w:rsidP="00774B35">
            <w:pPr>
              <w:rPr>
                <w:sz w:val="16"/>
                <w:szCs w:val="18"/>
              </w:rPr>
            </w:pP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41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1197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starší pracovníci 55 – 64 let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CCB" w:rsidRPr="00925CCB" w:rsidRDefault="00925CCB" w:rsidP="00774B35">
            <w:pPr>
              <w:rPr>
                <w:sz w:val="16"/>
                <w:szCs w:val="18"/>
              </w:rPr>
            </w:pP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4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1257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menšiny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CCB" w:rsidRPr="00925CCB" w:rsidRDefault="00925CCB" w:rsidP="00774B35">
            <w:pPr>
              <w:rPr>
                <w:color w:val="000000"/>
                <w:sz w:val="16"/>
                <w:szCs w:val="18"/>
              </w:rPr>
            </w:pPr>
            <w:r w:rsidRPr="00925CCB">
              <w:rPr>
                <w:color w:val="000000"/>
                <w:sz w:val="16"/>
                <w:szCs w:val="18"/>
              </w:rPr>
              <w:t xml:space="preserve">Skupiny osob, které </w:t>
            </w:r>
            <w:proofErr w:type="gramStart"/>
            <w:r w:rsidRPr="00925CCB">
              <w:rPr>
                <w:color w:val="000000"/>
                <w:sz w:val="16"/>
                <w:szCs w:val="18"/>
              </w:rPr>
              <w:t>se</w:t>
            </w:r>
            <w:proofErr w:type="gramEnd"/>
            <w:r w:rsidRPr="00925CCB">
              <w:rPr>
                <w:color w:val="000000"/>
                <w:sz w:val="16"/>
                <w:szCs w:val="18"/>
              </w:rPr>
              <w:t xml:space="preserve"> určitým znakem</w:t>
            </w:r>
          </w:p>
          <w:p w:rsidR="00925CCB" w:rsidRPr="00925CCB" w:rsidRDefault="00925CCB" w:rsidP="00774B3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(národností, náboženstvím, jazykem, kulturními zvyky apod.) odlišují od ostatních občanů státu, což je znevýhodňuje v přístupu ke zdrojům a na</w:t>
            </w:r>
            <w:r w:rsidR="00255DDB">
              <w:rPr>
                <w:sz w:val="16"/>
                <w:szCs w:val="18"/>
              </w:rPr>
              <w:t xml:space="preserve"> </w:t>
            </w:r>
            <w:r w:rsidRPr="00925CCB">
              <w:rPr>
                <w:sz w:val="16"/>
                <w:szCs w:val="18"/>
              </w:rPr>
              <w:t>trh práce.</w:t>
            </w: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4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1267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migranti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CCB" w:rsidRPr="00925CCB" w:rsidRDefault="00925CCB" w:rsidP="00925C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25CCB">
              <w:rPr>
                <w:sz w:val="16"/>
                <w:szCs w:val="18"/>
              </w:rPr>
              <w:t>Skupina přistěhovalců v ČR, která zahrnuje nelegální imigranty, žadatele o azyl, uznané azylanty, cizince s uděleným dlouhodobým nebo s trvalým pobytem v ČR.</w:t>
            </w: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  <w:tcBorders>
              <w:left w:val="nil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4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1277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zdravotně znevýhodnění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CCB" w:rsidRPr="00925CCB" w:rsidRDefault="00925CCB" w:rsidP="00774B35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V souladu s par. 67 zákona 435/2004 Sb.</w:t>
            </w:r>
          </w:p>
          <w:p w:rsidR="00925CCB" w:rsidRPr="00255DDB" w:rsidRDefault="00925CCB" w:rsidP="00925CCB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o zaměstnanosti fyzické osoby, které jsou a) orgánem sociálního zabezpečení uznány plně invalidními, b) orgánem sociálního zabezpečení uznány částečně invalidními, c) rozhodnutím úřadu práce uznány zdravotně znevýhodněnými“</w:t>
            </w:r>
            <w:r w:rsidR="00255DDB">
              <w:rPr>
                <w:sz w:val="16"/>
                <w:szCs w:val="18"/>
              </w:rPr>
              <w:t xml:space="preserve">. </w:t>
            </w:r>
            <w:proofErr w:type="gramStart"/>
            <w:r w:rsidRPr="00925CCB">
              <w:rPr>
                <w:sz w:val="16"/>
                <w:szCs w:val="18"/>
              </w:rPr>
              <w:t>Skupina</w:t>
            </w:r>
            <w:proofErr w:type="gramEnd"/>
            <w:r w:rsidRPr="00925CCB">
              <w:rPr>
                <w:sz w:val="16"/>
                <w:szCs w:val="18"/>
              </w:rPr>
              <w:t xml:space="preserve"> zdravotně znevýhodněných je také poměrně dobře zachycená statistickými údaji.</w:t>
            </w: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CCB" w:rsidRPr="00925CCB" w:rsidRDefault="00925CCB" w:rsidP="00774B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left w:val="nil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4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1287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Ostatní znevýhodněné skupiny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CCB" w:rsidRPr="00925CCB" w:rsidRDefault="00925CCB" w:rsidP="00925C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25CCB">
              <w:rPr>
                <w:sz w:val="16"/>
                <w:szCs w:val="18"/>
              </w:rPr>
              <w:t>Mladiství s nízkou úrovní kvalifikace nebo bez (ukončeného) formálního vzdělání, osoby po rodičovské dovolené, absolventi škol a také uchazeči o zaměstnání starší 50 let.</w:t>
            </w: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344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1417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 xml:space="preserve">ISCED </w:t>
            </w:r>
            <w:smartTag w:uri="urn:schemas-microsoft-com:office:smarttags" w:element="metricconverter">
              <w:smartTagPr>
                <w:attr w:name="ProductID" w:val="1 a"/>
              </w:smartTagPr>
              <w:r w:rsidRPr="00382C7D">
                <w:rPr>
                  <w:sz w:val="18"/>
                  <w:szCs w:val="18"/>
                </w:rPr>
                <w:t>1 a</w:t>
              </w:r>
            </w:smartTag>
            <w:r w:rsidRPr="00382C7D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925CCB" w:rsidRDefault="00925CCB" w:rsidP="00774B35">
            <w:pPr>
              <w:rPr>
                <w:color w:val="000000"/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Základní školy a základní školy speciální.</w:t>
            </w: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4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1427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ISCED 3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CCB" w:rsidRPr="00925CCB" w:rsidRDefault="00925CCB" w:rsidP="00774B35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Střední vzdělávání s výučním listem, střední</w:t>
            </w:r>
          </w:p>
          <w:p w:rsidR="00925CCB" w:rsidRPr="00925CCB" w:rsidRDefault="00925CCB" w:rsidP="00925C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 xml:space="preserve">vzdělávání s maturitní zkouškou, </w:t>
            </w:r>
            <w:r>
              <w:rPr>
                <w:sz w:val="16"/>
                <w:szCs w:val="18"/>
              </w:rPr>
              <w:t>k</w:t>
            </w:r>
            <w:r w:rsidRPr="00925CCB">
              <w:rPr>
                <w:sz w:val="16"/>
                <w:szCs w:val="18"/>
              </w:rPr>
              <w:t>onzervatoře</w:t>
            </w:r>
            <w:r>
              <w:rPr>
                <w:sz w:val="16"/>
                <w:szCs w:val="18"/>
              </w:rPr>
              <w:t xml:space="preserve"> </w:t>
            </w:r>
            <w:r w:rsidRPr="00925CCB">
              <w:rPr>
                <w:sz w:val="16"/>
                <w:szCs w:val="18"/>
              </w:rPr>
              <w:t>(mimo posledních dvou ročníků).</w:t>
            </w: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4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1437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ISCED 4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CCB" w:rsidRPr="00925CCB" w:rsidRDefault="00925CCB" w:rsidP="00774B35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Nástavbové studium, zkrácené studium</w:t>
            </w:r>
          </w:p>
          <w:p w:rsidR="00925CCB" w:rsidRPr="00925CCB" w:rsidRDefault="00925CCB" w:rsidP="00925CC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s výučním listem, zkrácené studium s</w:t>
            </w:r>
            <w:r>
              <w:rPr>
                <w:sz w:val="16"/>
                <w:szCs w:val="18"/>
              </w:rPr>
              <w:t> </w:t>
            </w:r>
            <w:r w:rsidRPr="00925CCB">
              <w:rPr>
                <w:sz w:val="16"/>
                <w:szCs w:val="18"/>
              </w:rPr>
              <w:t>maturitní</w:t>
            </w:r>
            <w:r>
              <w:rPr>
                <w:sz w:val="16"/>
                <w:szCs w:val="18"/>
              </w:rPr>
              <w:t xml:space="preserve"> </w:t>
            </w:r>
            <w:r w:rsidRPr="00925CCB">
              <w:rPr>
                <w:sz w:val="16"/>
                <w:szCs w:val="18"/>
              </w:rPr>
              <w:t>zkouškou.</w:t>
            </w:r>
          </w:p>
        </w:tc>
        <w:tc>
          <w:tcPr>
            <w:tcW w:w="5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55DDB" w:rsidRPr="0087526B" w:rsidTr="00255DDB">
        <w:trPr>
          <w:trHeight w:val="481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670E9" w:rsidRDefault="00925CCB" w:rsidP="003670E9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>1447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sz w:val="18"/>
                <w:szCs w:val="18"/>
              </w:rPr>
            </w:pPr>
            <w:r w:rsidRPr="00382C7D">
              <w:rPr>
                <w:sz w:val="18"/>
                <w:szCs w:val="18"/>
              </w:rPr>
              <w:t xml:space="preserve">ISCED </w:t>
            </w:r>
            <w:smartTag w:uri="urn:schemas-microsoft-com:office:smarttags" w:element="metricconverter">
              <w:smartTagPr>
                <w:attr w:name="ProductID" w:val="5 a"/>
              </w:smartTagPr>
              <w:r w:rsidRPr="00382C7D">
                <w:rPr>
                  <w:sz w:val="18"/>
                  <w:szCs w:val="18"/>
                </w:rPr>
                <w:t>5 a</w:t>
              </w:r>
            </w:smartTag>
            <w:r w:rsidRPr="00382C7D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CCB" w:rsidRPr="00925CCB" w:rsidRDefault="00925CCB" w:rsidP="00774B35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Konzervatoře (poslední dva ročníky), vyšší</w:t>
            </w:r>
          </w:p>
          <w:p w:rsidR="00925CCB" w:rsidRPr="00925CCB" w:rsidRDefault="00925CCB" w:rsidP="00774B35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odborné školy, vysoké školy (bakalářské</w:t>
            </w:r>
          </w:p>
          <w:p w:rsidR="00925CCB" w:rsidRPr="00925CCB" w:rsidRDefault="00925CCB" w:rsidP="00774B35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925CCB">
              <w:rPr>
                <w:sz w:val="16"/>
                <w:szCs w:val="18"/>
              </w:rPr>
              <w:t>programy, magisterské programy, navazující magisterské programy, doktorské programy).</w:t>
            </w:r>
          </w:p>
        </w:tc>
        <w:tc>
          <w:tcPr>
            <w:tcW w:w="5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CCB" w:rsidRPr="00382C7D" w:rsidRDefault="00925CCB" w:rsidP="00774B3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55DDB" w:rsidRDefault="00255DDB" w:rsidP="00BC1C6F"/>
    <w:p w:rsidR="00BC1C6F" w:rsidRPr="0042521B" w:rsidRDefault="00BC1C6F" w:rsidP="00BC1C6F">
      <w:r>
        <w:br/>
      </w:r>
      <w:r w:rsidRPr="0042521B">
        <w:t xml:space="preserve">Jméno statutárního zástupce žádajícího </w:t>
      </w:r>
      <w:proofErr w:type="gramStart"/>
      <w:r w:rsidRPr="0042521B">
        <w:t xml:space="preserve">subjektu: </w:t>
      </w:r>
      <w:r>
        <w:t xml:space="preserve"> …</w:t>
      </w:r>
      <w:proofErr w:type="gramEnd"/>
      <w:r>
        <w:t>.</w:t>
      </w:r>
      <w:r w:rsidRPr="0042521B">
        <w:t>……………………………………..</w:t>
      </w:r>
    </w:p>
    <w:p w:rsidR="00BC1C6F" w:rsidRDefault="00BC1C6F" w:rsidP="00BC1C6F">
      <w:pPr>
        <w:pStyle w:val="Zkladntext2"/>
        <w:spacing w:line="360" w:lineRule="auto"/>
        <w:ind w:right="203"/>
      </w:pPr>
    </w:p>
    <w:p w:rsidR="003670E9" w:rsidRDefault="00BC1C6F" w:rsidP="009F5C57">
      <w:r>
        <w:t>V………….………..     dne  ……………</w:t>
      </w:r>
      <w:r w:rsidRPr="00BC1C6F">
        <w:t xml:space="preserve"> </w:t>
      </w:r>
      <w:r>
        <w:tab/>
      </w:r>
      <w:r>
        <w:tab/>
      </w:r>
      <w:proofErr w:type="gramStart"/>
      <w:r>
        <w:t xml:space="preserve">Podpis/razítko:  </w:t>
      </w:r>
      <w:r w:rsidRPr="0042521B">
        <w:t>…</w:t>
      </w:r>
      <w:proofErr w:type="gramEnd"/>
      <w:r w:rsidRPr="0042521B">
        <w:t>……………………</w:t>
      </w:r>
    </w:p>
    <w:sectPr w:rsidR="003670E9" w:rsidSect="008B1F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0D" w:rsidRDefault="0055190D" w:rsidP="00735200">
      <w:r>
        <w:separator/>
      </w:r>
    </w:p>
  </w:endnote>
  <w:endnote w:type="continuationSeparator" w:id="0">
    <w:p w:rsidR="0055190D" w:rsidRDefault="0055190D" w:rsidP="0073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210585"/>
      <w:docPartObj>
        <w:docPartGallery w:val="Page Numbers (Bottom of Page)"/>
        <w:docPartUnique/>
      </w:docPartObj>
    </w:sdtPr>
    <w:sdtContent>
      <w:p w:rsidR="0055190D" w:rsidRDefault="0055190D">
        <w:pPr>
          <w:pStyle w:val="Zpat"/>
          <w:jc w:val="right"/>
        </w:pPr>
        <w:fldSimple w:instr=" PAGE   \* MERGEFORMAT ">
          <w:r w:rsidR="00255DDB">
            <w:rPr>
              <w:noProof/>
            </w:rPr>
            <w:t>1</w:t>
          </w:r>
        </w:fldSimple>
      </w:p>
    </w:sdtContent>
  </w:sdt>
  <w:p w:rsidR="0055190D" w:rsidRDefault="005519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0D" w:rsidRDefault="0055190D" w:rsidP="00735200">
      <w:r>
        <w:separator/>
      </w:r>
    </w:p>
  </w:footnote>
  <w:footnote w:type="continuationSeparator" w:id="0">
    <w:p w:rsidR="0055190D" w:rsidRDefault="0055190D" w:rsidP="0073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0D" w:rsidRDefault="0055190D">
    <w:pPr>
      <w:pStyle w:val="Zhlav"/>
    </w:pPr>
    <w:r>
      <w:rPr>
        <w:noProof/>
      </w:rPr>
      <w:pict>
        <v:group id="_x0000_s3073" style="position:absolute;margin-left:53.85pt;margin-top:-23.95pt;width:341.45pt;height:60.7pt;z-index:-251658240" coordorigin="1411,1387" coordsize="8189,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style="position:absolute;left:8539;top:1387;width:1061;height:1170">
            <v:imagedata r:id="rId1" o:title=""/>
          </v:shape>
          <v:shape id="_x0000_s3075" type="#_x0000_t75" style="position:absolute;left:1411;top:1411;width:7200;height:1455">
            <v:imagedata r:id="rId2" o:title=""/>
          </v:shape>
        </v:group>
      </w:pict>
    </w:r>
  </w:p>
  <w:p w:rsidR="0055190D" w:rsidRDefault="0055190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35200"/>
    <w:rsid w:val="00103C63"/>
    <w:rsid w:val="00255DDB"/>
    <w:rsid w:val="003670E9"/>
    <w:rsid w:val="004E4195"/>
    <w:rsid w:val="0055190D"/>
    <w:rsid w:val="005F2410"/>
    <w:rsid w:val="006107E4"/>
    <w:rsid w:val="006548C2"/>
    <w:rsid w:val="006C20BB"/>
    <w:rsid w:val="00735200"/>
    <w:rsid w:val="00774B35"/>
    <w:rsid w:val="008B1FFF"/>
    <w:rsid w:val="008C0B0C"/>
    <w:rsid w:val="00925CCB"/>
    <w:rsid w:val="00944298"/>
    <w:rsid w:val="00994B8F"/>
    <w:rsid w:val="009F5C57"/>
    <w:rsid w:val="00AD6991"/>
    <w:rsid w:val="00AF4D60"/>
    <w:rsid w:val="00B243A2"/>
    <w:rsid w:val="00B56078"/>
    <w:rsid w:val="00BC1C6F"/>
    <w:rsid w:val="00BF4294"/>
    <w:rsid w:val="00C36D06"/>
    <w:rsid w:val="00C62208"/>
    <w:rsid w:val="00D61706"/>
    <w:rsid w:val="00D7683B"/>
    <w:rsid w:val="00DD32D4"/>
    <w:rsid w:val="00DD3530"/>
    <w:rsid w:val="00E2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CCB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352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520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52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200"/>
    <w:rPr>
      <w:rFonts w:eastAsia="Times New Roman"/>
      <w:lang w:eastAsia="cs-CZ"/>
    </w:rPr>
  </w:style>
  <w:style w:type="paragraph" w:styleId="Zkladntext2">
    <w:name w:val="Body Text 2"/>
    <w:basedOn w:val="Normln"/>
    <w:link w:val="Zkladntext2Char"/>
    <w:rsid w:val="00BC1C6F"/>
    <w:pPr>
      <w:spacing w:after="120" w:line="48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BC1C6F"/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Martina, Mgr.</dc:creator>
  <cp:lastModifiedBy>dostalova.r</cp:lastModifiedBy>
  <cp:revision>9</cp:revision>
  <dcterms:created xsi:type="dcterms:W3CDTF">2014-02-28T07:19:00Z</dcterms:created>
  <dcterms:modified xsi:type="dcterms:W3CDTF">2014-08-26T10:11:00Z</dcterms:modified>
</cp:coreProperties>
</file>