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D7" w:rsidRPr="00287680" w:rsidRDefault="00A06B8B" w:rsidP="00D95DD7">
      <w:pPr>
        <w:suppressAutoHyphens/>
        <w:spacing w:after="0" w:line="240" w:lineRule="auto"/>
        <w:ind w:left="2832" w:firstLine="708"/>
        <w:jc w:val="righ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87680"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="002F0E8E" w:rsidRPr="00287680">
        <w:rPr>
          <w:rFonts w:ascii="Arial" w:eastAsia="Times New Roman" w:hAnsi="Arial" w:cs="Arial"/>
          <w:b/>
          <w:sz w:val="24"/>
          <w:szCs w:val="24"/>
          <w:lang w:eastAsia="cs-CZ"/>
        </w:rPr>
        <w:t>II</w:t>
      </w:r>
      <w:r w:rsidR="00D95DD7" w:rsidRPr="00287680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390037" w:rsidRPr="00287680" w:rsidRDefault="00390037" w:rsidP="00D95DD7">
      <w:pPr>
        <w:suppressAutoHyphens/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eastAsia="cs-CZ"/>
        </w:rPr>
      </w:pPr>
    </w:p>
    <w:p w:rsidR="000B4E25" w:rsidRPr="00287680" w:rsidRDefault="006337AA" w:rsidP="000B4E25">
      <w:pPr>
        <w:pStyle w:val="Zkladntext"/>
        <w:spacing w:line="360" w:lineRule="auto"/>
        <w:ind w:firstLine="708"/>
        <w:jc w:val="center"/>
        <w:rPr>
          <w:rFonts w:ascii="Arial" w:hAnsi="Arial" w:cs="Arial"/>
          <w:b/>
          <w:u w:val="single"/>
        </w:rPr>
      </w:pPr>
      <w:bookmarkStart w:id="0" w:name="_Toc353920020"/>
      <w:bookmarkStart w:id="1" w:name="_Toc354831686"/>
      <w:bookmarkStart w:id="2" w:name="_Toc359875164"/>
      <w:bookmarkStart w:id="3" w:name="_Ref364525122"/>
      <w:bookmarkStart w:id="4" w:name="_Ref364525468"/>
      <w:bookmarkStart w:id="5" w:name="_Ref364852475"/>
      <w:bookmarkStart w:id="6" w:name="_Ref364943601"/>
      <w:bookmarkStart w:id="7" w:name="_Toc365010143"/>
      <w:r>
        <w:rPr>
          <w:rFonts w:ascii="Arial" w:hAnsi="Arial" w:cs="Arial"/>
          <w:b/>
          <w:u w:val="single"/>
        </w:rPr>
        <w:t xml:space="preserve">Dofinancování </w:t>
      </w:r>
      <w:r w:rsidR="000B4E25" w:rsidRPr="00287680">
        <w:rPr>
          <w:rFonts w:ascii="Arial" w:hAnsi="Arial" w:cs="Arial"/>
          <w:b/>
          <w:u w:val="single"/>
        </w:rPr>
        <w:t>sociálních služeb</w:t>
      </w:r>
      <w:r>
        <w:rPr>
          <w:rFonts w:ascii="Arial" w:hAnsi="Arial" w:cs="Arial"/>
          <w:b/>
          <w:u w:val="single"/>
        </w:rPr>
        <w:t xml:space="preserve"> ohrožených </w:t>
      </w:r>
      <w:r w:rsidR="00C25BB3">
        <w:rPr>
          <w:rFonts w:ascii="Arial" w:hAnsi="Arial" w:cs="Arial"/>
          <w:b/>
          <w:u w:val="single"/>
        </w:rPr>
        <w:t>omezením či zánikem pro rok 2015</w:t>
      </w:r>
    </w:p>
    <w:p w:rsidR="000B4E25" w:rsidRPr="00287680" w:rsidRDefault="00777F82" w:rsidP="00145FB0">
      <w:pPr>
        <w:pStyle w:val="Zkladn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Ministerstvo práce a sociálních věcí (dále jenom MPSV)</w:t>
      </w:r>
      <w:r w:rsidR="000B4E25" w:rsidRPr="00287680">
        <w:rPr>
          <w:rFonts w:ascii="Arial" w:hAnsi="Arial" w:cs="Arial"/>
        </w:rPr>
        <w:t xml:space="preserve"> poskytuje s účinností zákona č. 108/2006 Sb., o sociálních službách</w:t>
      </w:r>
      <w:r w:rsidR="0042385A">
        <w:rPr>
          <w:rFonts w:ascii="Arial" w:hAnsi="Arial" w:cs="Arial"/>
        </w:rPr>
        <w:t>, ve znění pozdějších předpisů</w:t>
      </w:r>
      <w:r w:rsidR="0046089B">
        <w:rPr>
          <w:rFonts w:ascii="Arial" w:hAnsi="Arial" w:cs="Arial"/>
        </w:rPr>
        <w:t xml:space="preserve"> (dále jenom zákona o sociálních službách)</w:t>
      </w:r>
      <w:r w:rsidR="00FC2A2F">
        <w:rPr>
          <w:rFonts w:ascii="Arial" w:hAnsi="Arial" w:cs="Arial"/>
        </w:rPr>
        <w:t>,</w:t>
      </w:r>
      <w:r w:rsidR="000B4E25" w:rsidRPr="00287680">
        <w:rPr>
          <w:rFonts w:ascii="Arial" w:hAnsi="Arial" w:cs="Arial"/>
        </w:rPr>
        <w:t xml:space="preserve"> účelové dotace na financování základních druhů a forem sociálních služeb </w:t>
      </w:r>
      <w:r w:rsidR="00FC2A2F">
        <w:rPr>
          <w:rFonts w:ascii="Arial" w:hAnsi="Arial" w:cs="Arial"/>
        </w:rPr>
        <w:t>(</w:t>
      </w:r>
      <w:r w:rsidR="000B4E25" w:rsidRPr="00287680">
        <w:rPr>
          <w:rFonts w:ascii="Arial" w:hAnsi="Arial" w:cs="Arial"/>
        </w:rPr>
        <w:t>v rozsahu stanoveném základními činnostmi při poskytování sociálních služeb pro</w:t>
      </w:r>
      <w:r w:rsidR="0042385A">
        <w:rPr>
          <w:rFonts w:ascii="Arial" w:hAnsi="Arial" w:cs="Arial"/>
        </w:rPr>
        <w:t xml:space="preserve"> příslušný druh sociální služby</w:t>
      </w:r>
      <w:r w:rsidR="00FC2A2F">
        <w:rPr>
          <w:rFonts w:ascii="Arial" w:hAnsi="Arial" w:cs="Arial"/>
        </w:rPr>
        <w:t xml:space="preserve">) </w:t>
      </w:r>
      <w:r w:rsidR="0042385A">
        <w:rPr>
          <w:rFonts w:ascii="Arial" w:hAnsi="Arial" w:cs="Arial"/>
        </w:rPr>
        <w:t>krajům a Hlavnímu městu Praha dle § 101a</w:t>
      </w:r>
      <w:r w:rsidR="00FC2A2F">
        <w:rPr>
          <w:rFonts w:ascii="Arial" w:hAnsi="Arial" w:cs="Arial"/>
        </w:rPr>
        <w:t xml:space="preserve"> výše uvedeného zákona</w:t>
      </w:r>
      <w:r w:rsidR="00A70B65">
        <w:rPr>
          <w:rFonts w:ascii="Arial" w:hAnsi="Arial" w:cs="Arial"/>
        </w:rPr>
        <w:t xml:space="preserve"> a registrovaným poskytovatelům sociálních služeb s </w:t>
      </w:r>
      <w:proofErr w:type="spellStart"/>
      <w:r w:rsidR="00A70B65">
        <w:rPr>
          <w:rFonts w:ascii="Arial" w:hAnsi="Arial" w:cs="Arial"/>
        </w:rPr>
        <w:t>nadregionální</w:t>
      </w:r>
      <w:proofErr w:type="spellEnd"/>
      <w:r w:rsidR="00A70B65">
        <w:rPr>
          <w:rFonts w:ascii="Arial" w:hAnsi="Arial" w:cs="Arial"/>
        </w:rPr>
        <w:t xml:space="preserve"> či celostátní působností dle § 104 výše uvedeného zákona.</w:t>
      </w:r>
    </w:p>
    <w:p w:rsidR="00A70B65" w:rsidRDefault="000B4E25" w:rsidP="00145FB0">
      <w:pPr>
        <w:pStyle w:val="Zkladntext"/>
        <w:spacing w:line="360" w:lineRule="auto"/>
        <w:jc w:val="both"/>
        <w:rPr>
          <w:rFonts w:ascii="Arial" w:hAnsi="Arial" w:cs="Arial"/>
        </w:rPr>
      </w:pPr>
      <w:r w:rsidRPr="00287680">
        <w:rPr>
          <w:rFonts w:ascii="Arial" w:hAnsi="Arial" w:cs="Arial"/>
        </w:rPr>
        <w:t xml:space="preserve">V upraveném rozpočtu </w:t>
      </w:r>
      <w:r w:rsidR="0046089B">
        <w:rPr>
          <w:rFonts w:ascii="Arial" w:hAnsi="Arial" w:cs="Arial"/>
        </w:rPr>
        <w:t>výdajů MPSV v závazném ukazateli</w:t>
      </w:r>
      <w:r w:rsidRPr="00287680">
        <w:rPr>
          <w:rFonts w:ascii="Arial" w:hAnsi="Arial" w:cs="Arial"/>
        </w:rPr>
        <w:t xml:space="preserve"> </w:t>
      </w:r>
      <w:r w:rsidRPr="00287680">
        <w:rPr>
          <w:rFonts w:ascii="Arial" w:hAnsi="Arial" w:cs="Arial"/>
          <w:i/>
        </w:rPr>
        <w:t>„Neinvestiční nedávkové transfery“</w:t>
      </w:r>
      <w:r w:rsidRPr="00287680">
        <w:rPr>
          <w:rFonts w:ascii="Arial" w:hAnsi="Arial" w:cs="Arial"/>
        </w:rPr>
        <w:t xml:space="preserve"> je na podporu sociálních služeb </w:t>
      </w:r>
      <w:r w:rsidR="00A70B65">
        <w:rPr>
          <w:rFonts w:ascii="Arial" w:hAnsi="Arial" w:cs="Arial"/>
          <w:b/>
        </w:rPr>
        <w:t>v roce 2015</w:t>
      </w:r>
      <w:r w:rsidR="00A70B65" w:rsidRPr="00287680">
        <w:rPr>
          <w:rFonts w:ascii="Arial" w:hAnsi="Arial" w:cs="Arial"/>
          <w:b/>
        </w:rPr>
        <w:t xml:space="preserve"> ve </w:t>
      </w:r>
      <w:r w:rsidR="00A70B65">
        <w:rPr>
          <w:rFonts w:ascii="Arial" w:hAnsi="Arial" w:cs="Arial"/>
          <w:b/>
        </w:rPr>
        <w:t>státním rozpočtu alokováno 7 850</w:t>
      </w:r>
      <w:r w:rsidR="00A70B65" w:rsidRPr="00287680">
        <w:rPr>
          <w:rFonts w:ascii="Arial" w:hAnsi="Arial" w:cs="Arial"/>
          <w:b/>
        </w:rPr>
        <w:t xml:space="preserve"> </w:t>
      </w:r>
      <w:r w:rsidR="00A70B65">
        <w:rPr>
          <w:rFonts w:ascii="Arial" w:hAnsi="Arial" w:cs="Arial"/>
          <w:b/>
        </w:rPr>
        <w:t>0</w:t>
      </w:r>
      <w:r w:rsidR="00A70B65" w:rsidRPr="00287680">
        <w:rPr>
          <w:rFonts w:ascii="Arial" w:hAnsi="Arial" w:cs="Arial"/>
          <w:b/>
        </w:rPr>
        <w:t xml:space="preserve">00 </w:t>
      </w:r>
      <w:proofErr w:type="spellStart"/>
      <w:r w:rsidR="00A70B65" w:rsidRPr="00287680">
        <w:rPr>
          <w:rFonts w:ascii="Arial" w:hAnsi="Arial" w:cs="Arial"/>
          <w:b/>
        </w:rPr>
        <w:t>000</w:t>
      </w:r>
      <w:proofErr w:type="spellEnd"/>
      <w:r w:rsidR="00A70B65" w:rsidRPr="00287680">
        <w:rPr>
          <w:rFonts w:ascii="Arial" w:hAnsi="Arial" w:cs="Arial"/>
          <w:b/>
        </w:rPr>
        <w:t xml:space="preserve"> Kč</w:t>
      </w:r>
      <w:r w:rsidR="00042362">
        <w:rPr>
          <w:rFonts w:ascii="Arial" w:hAnsi="Arial" w:cs="Arial"/>
        </w:rPr>
        <w:t xml:space="preserve">, </w:t>
      </w:r>
      <w:r w:rsidR="00042362" w:rsidRPr="00A8047F">
        <w:rPr>
          <w:rFonts w:ascii="Arial" w:hAnsi="Arial" w:cs="Arial"/>
        </w:rPr>
        <w:t xml:space="preserve">z toho 270 milionů je určeno na podporu služeb s </w:t>
      </w:r>
      <w:proofErr w:type="spellStart"/>
      <w:r w:rsidR="00042362" w:rsidRPr="00A8047F">
        <w:rPr>
          <w:rFonts w:ascii="Arial" w:hAnsi="Arial" w:cs="Arial"/>
        </w:rPr>
        <w:t>nadregionální</w:t>
      </w:r>
      <w:proofErr w:type="spellEnd"/>
      <w:r w:rsidR="00042362" w:rsidRPr="00A8047F">
        <w:rPr>
          <w:rFonts w:ascii="Arial" w:hAnsi="Arial" w:cs="Arial"/>
        </w:rPr>
        <w:t xml:space="preserve"> či celostátní působností </w:t>
      </w:r>
      <w:r w:rsidR="0046089B">
        <w:rPr>
          <w:rFonts w:ascii="Arial" w:hAnsi="Arial" w:cs="Arial"/>
        </w:rPr>
        <w:t xml:space="preserve">a na řešení mimořádných situací dle § 102 a </w:t>
      </w:r>
      <w:r w:rsidR="0046089B">
        <w:rPr>
          <w:rFonts w:ascii="Arial" w:hAnsi="Arial" w:cs="Arial"/>
        </w:rPr>
        <w:br/>
        <w:t>§ 103 zákona o sociálních službách.</w:t>
      </w:r>
    </w:p>
    <w:p w:rsidR="000B4E25" w:rsidRPr="00287680" w:rsidRDefault="00A70B65" w:rsidP="00145FB0">
      <w:pPr>
        <w:pStyle w:val="Zkladn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podporu sociálních služeb </w:t>
      </w:r>
      <w:r w:rsidR="00FC2A2F">
        <w:rPr>
          <w:rFonts w:ascii="Arial" w:hAnsi="Arial" w:cs="Arial"/>
        </w:rPr>
        <w:t>prostřednictvím krajů a Hlavního města Prah</w:t>
      </w:r>
      <w:r w:rsidR="00A21394">
        <w:rPr>
          <w:rFonts w:ascii="Arial" w:hAnsi="Arial" w:cs="Arial"/>
        </w:rPr>
        <w:t>y</w:t>
      </w:r>
      <w:r w:rsidR="00FC2A2F">
        <w:rPr>
          <w:rFonts w:ascii="Arial" w:hAnsi="Arial" w:cs="Arial"/>
        </w:rPr>
        <w:t xml:space="preserve">, tj. </w:t>
      </w:r>
      <w:r w:rsidR="00A21394">
        <w:rPr>
          <w:rFonts w:ascii="Arial" w:hAnsi="Arial" w:cs="Arial"/>
        </w:rPr>
        <w:t xml:space="preserve">na podporu sociálních </w:t>
      </w:r>
      <w:r w:rsidR="00FC2A2F">
        <w:rPr>
          <w:rFonts w:ascii="Arial" w:hAnsi="Arial" w:cs="Arial"/>
        </w:rPr>
        <w:t xml:space="preserve">služeb </w:t>
      </w:r>
      <w:r w:rsidR="000B4E25" w:rsidRPr="00287680">
        <w:rPr>
          <w:rFonts w:ascii="Arial" w:hAnsi="Arial" w:cs="Arial"/>
        </w:rPr>
        <w:t>s místním či regionálním charakterem</w:t>
      </w:r>
      <w:r>
        <w:rPr>
          <w:rFonts w:ascii="Arial" w:hAnsi="Arial" w:cs="Arial"/>
        </w:rPr>
        <w:t xml:space="preserve"> je</w:t>
      </w:r>
      <w:r w:rsidR="000B4E25" w:rsidRPr="002876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 rok 2015 </w:t>
      </w:r>
      <w:r w:rsidR="000B4E25" w:rsidRPr="00287680">
        <w:rPr>
          <w:rFonts w:ascii="Arial" w:hAnsi="Arial" w:cs="Arial"/>
        </w:rPr>
        <w:t xml:space="preserve">vyčleněn </w:t>
      </w:r>
      <w:r w:rsidR="00FC2A2F">
        <w:rPr>
          <w:rFonts w:ascii="Arial" w:hAnsi="Arial" w:cs="Arial"/>
        </w:rPr>
        <w:t>objem prostředků ve výši 7 58</w:t>
      </w:r>
      <w:r w:rsidR="000B4E25" w:rsidRPr="00287680">
        <w:rPr>
          <w:rFonts w:ascii="Arial" w:hAnsi="Arial" w:cs="Arial"/>
        </w:rPr>
        <w:t>0</w:t>
      </w:r>
      <w:r>
        <w:rPr>
          <w:rFonts w:ascii="Arial" w:hAnsi="Arial" w:cs="Arial"/>
        </w:rPr>
        <w:t> 000</w:t>
      </w:r>
      <w:r w:rsidR="00042362">
        <w:rPr>
          <w:rFonts w:ascii="Arial" w:hAnsi="Arial" w:cs="Arial"/>
        </w:rPr>
        <w:t xml:space="preserve"> 000 </w:t>
      </w:r>
      <w:r w:rsidR="00FC2A2F">
        <w:rPr>
          <w:rFonts w:ascii="Arial" w:hAnsi="Arial" w:cs="Arial"/>
        </w:rPr>
        <w:t>Kč</w:t>
      </w:r>
      <w:r w:rsidR="000B4E25" w:rsidRPr="00287680">
        <w:rPr>
          <w:rFonts w:ascii="Arial" w:hAnsi="Arial" w:cs="Arial"/>
        </w:rPr>
        <w:t>.</w:t>
      </w:r>
    </w:p>
    <w:p w:rsidR="009D77AB" w:rsidRPr="00042362" w:rsidRDefault="00F619BA" w:rsidP="000423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roce 2015</w:t>
      </w:r>
      <w:r w:rsidR="0034540F" w:rsidRPr="00287680">
        <w:rPr>
          <w:rFonts w:ascii="Arial" w:hAnsi="Arial" w:cs="Arial"/>
          <w:sz w:val="24"/>
          <w:szCs w:val="24"/>
        </w:rPr>
        <w:t xml:space="preserve"> eviduje MPSV </w:t>
      </w:r>
      <w:r w:rsidR="00A70B65">
        <w:rPr>
          <w:rFonts w:ascii="Arial" w:hAnsi="Arial" w:cs="Arial"/>
          <w:sz w:val="24"/>
          <w:szCs w:val="24"/>
        </w:rPr>
        <w:t xml:space="preserve">celkový </w:t>
      </w:r>
      <w:r w:rsidR="0034540F" w:rsidRPr="00287680">
        <w:rPr>
          <w:rFonts w:ascii="Arial" w:hAnsi="Arial" w:cs="Arial"/>
          <w:b/>
          <w:sz w:val="24"/>
          <w:szCs w:val="24"/>
        </w:rPr>
        <w:t>požadavek na dotaci ze strany poskytovatelů</w:t>
      </w:r>
      <w:r w:rsidR="0034540F" w:rsidRPr="00287680">
        <w:rPr>
          <w:rFonts w:ascii="Arial" w:hAnsi="Arial" w:cs="Arial"/>
          <w:sz w:val="24"/>
          <w:szCs w:val="24"/>
        </w:rPr>
        <w:t xml:space="preserve"> </w:t>
      </w:r>
      <w:r w:rsidR="00FC2A2F">
        <w:rPr>
          <w:rFonts w:ascii="Arial" w:hAnsi="Arial" w:cs="Arial"/>
          <w:sz w:val="24"/>
          <w:szCs w:val="24"/>
        </w:rPr>
        <w:t xml:space="preserve">sociálních služeb </w:t>
      </w:r>
      <w:r w:rsidR="00A70B65" w:rsidRPr="00287680">
        <w:rPr>
          <w:rFonts w:ascii="Arial" w:hAnsi="Arial" w:cs="Arial"/>
          <w:b/>
          <w:sz w:val="24"/>
          <w:szCs w:val="24"/>
        </w:rPr>
        <w:t xml:space="preserve">ve výši </w:t>
      </w:r>
      <w:r w:rsidR="00A70B65">
        <w:rPr>
          <w:rFonts w:ascii="Arial" w:hAnsi="Arial" w:cs="Arial"/>
          <w:b/>
          <w:sz w:val="24"/>
          <w:szCs w:val="24"/>
          <w:u w:val="single"/>
        </w:rPr>
        <w:t>11 766</w:t>
      </w:r>
      <w:r w:rsidR="00BB70F1">
        <w:rPr>
          <w:rFonts w:ascii="Arial" w:hAnsi="Arial" w:cs="Arial"/>
          <w:b/>
          <w:sz w:val="24"/>
          <w:szCs w:val="24"/>
          <w:u w:val="single"/>
        </w:rPr>
        <w:t> </w:t>
      </w:r>
      <w:r w:rsidR="00A70B65">
        <w:rPr>
          <w:rFonts w:ascii="Arial" w:hAnsi="Arial" w:cs="Arial"/>
          <w:b/>
          <w:sz w:val="24"/>
          <w:szCs w:val="24"/>
          <w:u w:val="single"/>
        </w:rPr>
        <w:t>170</w:t>
      </w:r>
      <w:r w:rsidR="00BB70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70B65">
        <w:rPr>
          <w:rFonts w:ascii="Arial" w:hAnsi="Arial" w:cs="Arial"/>
          <w:b/>
          <w:sz w:val="24"/>
          <w:szCs w:val="24"/>
          <w:u w:val="single"/>
        </w:rPr>
        <w:t>985</w:t>
      </w:r>
      <w:r w:rsidR="00A70B65" w:rsidRPr="00287680">
        <w:rPr>
          <w:rFonts w:ascii="Arial" w:hAnsi="Arial" w:cs="Arial"/>
          <w:b/>
          <w:sz w:val="24"/>
          <w:szCs w:val="24"/>
          <w:u w:val="single"/>
        </w:rPr>
        <w:t xml:space="preserve"> Kč</w:t>
      </w:r>
      <w:r w:rsidR="00A70B65">
        <w:rPr>
          <w:rFonts w:ascii="Arial" w:hAnsi="Arial" w:cs="Arial"/>
          <w:sz w:val="24"/>
          <w:szCs w:val="24"/>
        </w:rPr>
        <w:t xml:space="preserve">, z toho na služby </w:t>
      </w:r>
      <w:r w:rsidR="00FC2A2F">
        <w:rPr>
          <w:rFonts w:ascii="Arial" w:hAnsi="Arial" w:cs="Arial"/>
          <w:sz w:val="24"/>
          <w:szCs w:val="24"/>
        </w:rPr>
        <w:t xml:space="preserve">s místním či regionálním charakterem </w:t>
      </w:r>
      <w:r w:rsidR="00A70B65">
        <w:rPr>
          <w:rFonts w:ascii="Arial" w:hAnsi="Arial" w:cs="Arial"/>
          <w:sz w:val="24"/>
          <w:szCs w:val="24"/>
        </w:rPr>
        <w:t>představuje požadavek částku</w:t>
      </w:r>
      <w:r w:rsidR="0034540F" w:rsidRPr="00A70B65">
        <w:rPr>
          <w:rFonts w:ascii="Arial" w:hAnsi="Arial" w:cs="Arial"/>
          <w:sz w:val="24"/>
          <w:szCs w:val="24"/>
        </w:rPr>
        <w:t xml:space="preserve"> </w:t>
      </w:r>
      <w:r w:rsidR="00FC2A2F" w:rsidRPr="00A70B65">
        <w:rPr>
          <w:rFonts w:ascii="Arial" w:hAnsi="Arial" w:cs="Arial"/>
          <w:sz w:val="24"/>
          <w:szCs w:val="24"/>
        </w:rPr>
        <w:t>11 502 519 505</w:t>
      </w:r>
      <w:r w:rsidR="0034540F" w:rsidRPr="00A70B65">
        <w:rPr>
          <w:rFonts w:ascii="Arial" w:hAnsi="Arial" w:cs="Arial"/>
          <w:sz w:val="24"/>
          <w:szCs w:val="24"/>
        </w:rPr>
        <w:t xml:space="preserve"> Kč</w:t>
      </w:r>
      <w:r w:rsidR="00F23024">
        <w:rPr>
          <w:rFonts w:ascii="Arial" w:hAnsi="Arial" w:cs="Arial"/>
          <w:sz w:val="24"/>
          <w:szCs w:val="24"/>
        </w:rPr>
        <w:t>,</w:t>
      </w:r>
      <w:r w:rsidR="00A70B65">
        <w:rPr>
          <w:rFonts w:ascii="Arial" w:hAnsi="Arial" w:cs="Arial"/>
          <w:sz w:val="24"/>
          <w:szCs w:val="24"/>
        </w:rPr>
        <w:t xml:space="preserve"> a na služby </w:t>
      </w:r>
      <w:r w:rsidR="00A70B65" w:rsidRPr="00A70B65">
        <w:rPr>
          <w:rFonts w:ascii="Arial" w:hAnsi="Arial" w:cs="Arial"/>
          <w:sz w:val="24"/>
          <w:szCs w:val="24"/>
        </w:rPr>
        <w:t>s </w:t>
      </w:r>
      <w:proofErr w:type="spellStart"/>
      <w:r w:rsidR="00A70B65" w:rsidRPr="00A70B65">
        <w:rPr>
          <w:rFonts w:ascii="Arial" w:hAnsi="Arial" w:cs="Arial"/>
          <w:sz w:val="24"/>
          <w:szCs w:val="24"/>
        </w:rPr>
        <w:t>nadregionální</w:t>
      </w:r>
      <w:proofErr w:type="spellEnd"/>
      <w:r w:rsidR="00A70B65" w:rsidRPr="00A70B65">
        <w:rPr>
          <w:rFonts w:ascii="Arial" w:hAnsi="Arial" w:cs="Arial"/>
          <w:sz w:val="24"/>
          <w:szCs w:val="24"/>
        </w:rPr>
        <w:t xml:space="preserve"> či celostátní působností</w:t>
      </w:r>
      <w:r w:rsidR="0034540F" w:rsidRPr="00287680">
        <w:rPr>
          <w:rFonts w:ascii="Arial" w:hAnsi="Arial" w:cs="Arial"/>
          <w:sz w:val="24"/>
          <w:szCs w:val="24"/>
        </w:rPr>
        <w:t xml:space="preserve"> </w:t>
      </w:r>
      <w:r w:rsidR="00A70B65">
        <w:rPr>
          <w:rFonts w:ascii="Arial" w:hAnsi="Arial" w:cs="Arial"/>
          <w:sz w:val="24"/>
          <w:szCs w:val="24"/>
        </w:rPr>
        <w:t>pak částku 263 651</w:t>
      </w:r>
      <w:r w:rsidR="007949D9">
        <w:rPr>
          <w:rFonts w:ascii="Arial" w:hAnsi="Arial" w:cs="Arial"/>
          <w:sz w:val="24"/>
          <w:szCs w:val="24"/>
        </w:rPr>
        <w:t> </w:t>
      </w:r>
      <w:r w:rsidR="00A70B65">
        <w:rPr>
          <w:rFonts w:ascii="Arial" w:hAnsi="Arial" w:cs="Arial"/>
          <w:sz w:val="24"/>
          <w:szCs w:val="24"/>
        </w:rPr>
        <w:t>480</w:t>
      </w:r>
      <w:r w:rsidR="007949D9">
        <w:rPr>
          <w:rFonts w:ascii="Arial" w:hAnsi="Arial" w:cs="Arial"/>
          <w:sz w:val="24"/>
          <w:szCs w:val="24"/>
        </w:rPr>
        <w:t xml:space="preserve"> Kč</w:t>
      </w:r>
      <w:r w:rsidR="00A70B65">
        <w:rPr>
          <w:rFonts w:ascii="Arial" w:hAnsi="Arial" w:cs="Arial"/>
          <w:sz w:val="24"/>
          <w:szCs w:val="24"/>
        </w:rPr>
        <w:t xml:space="preserve">. </w:t>
      </w:r>
      <w:r w:rsidR="0034540F" w:rsidRPr="00287680">
        <w:rPr>
          <w:rFonts w:ascii="Arial" w:hAnsi="Arial" w:cs="Arial"/>
          <w:b/>
          <w:sz w:val="24"/>
          <w:szCs w:val="24"/>
        </w:rPr>
        <w:t>Výše prostředků</w:t>
      </w:r>
      <w:r w:rsidR="0034540F" w:rsidRPr="00287680">
        <w:rPr>
          <w:rFonts w:ascii="Arial" w:hAnsi="Arial" w:cs="Arial"/>
          <w:sz w:val="24"/>
          <w:szCs w:val="24"/>
        </w:rPr>
        <w:t xml:space="preserve"> alokovaných </w:t>
      </w:r>
      <w:r w:rsidR="0034540F" w:rsidRPr="00287680">
        <w:rPr>
          <w:rFonts w:ascii="Arial" w:hAnsi="Arial" w:cs="Arial"/>
          <w:b/>
          <w:sz w:val="24"/>
          <w:szCs w:val="24"/>
        </w:rPr>
        <w:t>ze státního rozpočtu</w:t>
      </w:r>
      <w:r w:rsidR="0034540F" w:rsidRPr="00287680">
        <w:rPr>
          <w:rFonts w:ascii="Arial" w:hAnsi="Arial" w:cs="Arial"/>
          <w:sz w:val="24"/>
          <w:szCs w:val="24"/>
        </w:rPr>
        <w:t xml:space="preserve"> </w:t>
      </w:r>
      <w:r w:rsidR="007949D9">
        <w:rPr>
          <w:rFonts w:ascii="Arial" w:hAnsi="Arial" w:cs="Arial"/>
          <w:sz w:val="24"/>
          <w:szCs w:val="24"/>
        </w:rPr>
        <w:t>(kapitola</w:t>
      </w:r>
      <w:r w:rsidR="00441615" w:rsidRPr="00287680">
        <w:rPr>
          <w:rFonts w:ascii="Arial" w:hAnsi="Arial" w:cs="Arial"/>
          <w:sz w:val="24"/>
          <w:szCs w:val="24"/>
        </w:rPr>
        <w:t xml:space="preserve"> 313-MPSV) </w:t>
      </w:r>
      <w:r w:rsidR="0034540F" w:rsidRPr="00287680">
        <w:rPr>
          <w:rFonts w:ascii="Arial" w:hAnsi="Arial" w:cs="Arial"/>
          <w:sz w:val="24"/>
          <w:szCs w:val="24"/>
        </w:rPr>
        <w:t xml:space="preserve">na podporu sociálních služeb tudíž </w:t>
      </w:r>
      <w:r w:rsidR="00FC2A2F">
        <w:rPr>
          <w:rFonts w:ascii="Arial" w:hAnsi="Arial" w:cs="Arial"/>
          <w:b/>
          <w:sz w:val="24"/>
          <w:szCs w:val="24"/>
        </w:rPr>
        <w:t xml:space="preserve">pokrývá pouze </w:t>
      </w:r>
      <w:r w:rsidR="00A70B65">
        <w:rPr>
          <w:rFonts w:ascii="Arial" w:hAnsi="Arial" w:cs="Arial"/>
          <w:b/>
          <w:sz w:val="24"/>
          <w:szCs w:val="24"/>
        </w:rPr>
        <w:t>67</w:t>
      </w:r>
      <w:r w:rsidR="0034540F" w:rsidRPr="00287680">
        <w:rPr>
          <w:rFonts w:ascii="Arial" w:hAnsi="Arial" w:cs="Arial"/>
          <w:b/>
          <w:sz w:val="24"/>
          <w:szCs w:val="24"/>
        </w:rPr>
        <w:t>% požadavku</w:t>
      </w:r>
      <w:r w:rsidR="00441615" w:rsidRPr="00287680">
        <w:rPr>
          <w:rFonts w:ascii="Arial" w:hAnsi="Arial" w:cs="Arial"/>
          <w:b/>
          <w:sz w:val="24"/>
          <w:szCs w:val="24"/>
        </w:rPr>
        <w:t>.</w:t>
      </w:r>
    </w:p>
    <w:p w:rsidR="000B4E25" w:rsidRDefault="00042362" w:rsidP="00145F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Především je nutné podotknout, že</w:t>
      </w:r>
      <w:r w:rsidR="000B4E25" w:rsidRPr="00287680">
        <w:rPr>
          <w:rFonts w:ascii="Arial" w:hAnsi="Arial" w:cs="Arial"/>
          <w:sz w:val="24"/>
          <w:szCs w:val="24"/>
        </w:rPr>
        <w:t xml:space="preserve"> finanční prostředky </w:t>
      </w:r>
      <w:r>
        <w:rPr>
          <w:rFonts w:ascii="Arial" w:hAnsi="Arial" w:cs="Arial"/>
          <w:sz w:val="24"/>
          <w:szCs w:val="24"/>
        </w:rPr>
        <w:t>poskytované ze státního rozpočtu</w:t>
      </w:r>
      <w:r w:rsidR="00BA4E5F">
        <w:rPr>
          <w:rFonts w:ascii="Arial" w:hAnsi="Arial" w:cs="Arial"/>
          <w:sz w:val="24"/>
          <w:szCs w:val="24"/>
        </w:rPr>
        <w:t xml:space="preserve"> stále</w:t>
      </w:r>
      <w:r>
        <w:rPr>
          <w:rFonts w:ascii="Arial" w:hAnsi="Arial" w:cs="Arial"/>
          <w:sz w:val="24"/>
          <w:szCs w:val="24"/>
        </w:rPr>
        <w:t xml:space="preserve"> </w:t>
      </w:r>
      <w:r w:rsidR="000B4E25" w:rsidRPr="00287680">
        <w:rPr>
          <w:rFonts w:ascii="Arial" w:hAnsi="Arial" w:cs="Arial"/>
          <w:sz w:val="24"/>
          <w:szCs w:val="24"/>
        </w:rPr>
        <w:t xml:space="preserve">neumožňují potřebný rozvoj sociálních </w:t>
      </w:r>
      <w:r w:rsidR="000B4E25" w:rsidRPr="00042362">
        <w:rPr>
          <w:rFonts w:ascii="Arial" w:hAnsi="Arial" w:cs="Arial"/>
          <w:sz w:val="24"/>
          <w:szCs w:val="24"/>
        </w:rPr>
        <w:t>služeb</w:t>
      </w:r>
      <w:r>
        <w:rPr>
          <w:rFonts w:ascii="Arial" w:hAnsi="Arial" w:cs="Arial"/>
          <w:sz w:val="24"/>
          <w:szCs w:val="24"/>
        </w:rPr>
        <w:t>.</w:t>
      </w:r>
      <w:r w:rsidR="000B4E25" w:rsidRPr="00042362">
        <w:rPr>
          <w:rFonts w:ascii="Arial" w:hAnsi="Arial" w:cs="Arial"/>
          <w:sz w:val="24"/>
          <w:szCs w:val="24"/>
        </w:rPr>
        <w:t xml:space="preserve"> Sociální služby se také vlivem demografických ukazatelů, stárnutí obyvatelstva </w:t>
      </w:r>
      <w:r w:rsidR="00EB4B08">
        <w:rPr>
          <w:rFonts w:ascii="Arial" w:hAnsi="Arial" w:cs="Arial"/>
          <w:sz w:val="24"/>
          <w:szCs w:val="24"/>
        </w:rPr>
        <w:t xml:space="preserve">a dalších faktorů </w:t>
      </w:r>
      <w:r w:rsidR="000B4E25" w:rsidRPr="00042362">
        <w:rPr>
          <w:rFonts w:ascii="Arial" w:hAnsi="Arial" w:cs="Arial"/>
          <w:sz w:val="24"/>
          <w:szCs w:val="24"/>
        </w:rPr>
        <w:t>stávají finančně náročnější</w:t>
      </w:r>
      <w:r w:rsidR="00A83FEB" w:rsidRPr="00042362">
        <w:rPr>
          <w:rFonts w:ascii="Arial" w:hAnsi="Arial" w:cs="Arial"/>
          <w:sz w:val="24"/>
          <w:szCs w:val="24"/>
        </w:rPr>
        <w:t>, a to především z důvodu nutného navyšování</w:t>
      </w:r>
      <w:r w:rsidR="009D77AB" w:rsidRPr="00042362">
        <w:rPr>
          <w:rFonts w:ascii="Arial" w:hAnsi="Arial" w:cs="Arial"/>
          <w:sz w:val="24"/>
          <w:szCs w:val="24"/>
        </w:rPr>
        <w:t xml:space="preserve"> odborného</w:t>
      </w:r>
      <w:r w:rsidR="00A83FEB" w:rsidRPr="00042362">
        <w:rPr>
          <w:rFonts w:ascii="Arial" w:hAnsi="Arial" w:cs="Arial"/>
          <w:sz w:val="24"/>
          <w:szCs w:val="24"/>
        </w:rPr>
        <w:t xml:space="preserve"> personálu, který se stará o klienty, vyžadující </w:t>
      </w:r>
      <w:r w:rsidR="00EB4B08">
        <w:rPr>
          <w:rFonts w:ascii="Arial" w:hAnsi="Arial" w:cs="Arial"/>
          <w:sz w:val="24"/>
          <w:szCs w:val="24"/>
        </w:rPr>
        <w:t xml:space="preserve">vysoce odbornou </w:t>
      </w:r>
      <w:r w:rsidR="00A83FEB" w:rsidRPr="00042362">
        <w:rPr>
          <w:rFonts w:ascii="Arial" w:hAnsi="Arial" w:cs="Arial"/>
          <w:sz w:val="24"/>
          <w:szCs w:val="24"/>
        </w:rPr>
        <w:t>nepřetržitou péči</w:t>
      </w:r>
      <w:r w:rsidR="000B4E25" w:rsidRPr="00042362">
        <w:rPr>
          <w:rFonts w:ascii="Arial" w:hAnsi="Arial" w:cs="Arial"/>
          <w:sz w:val="24"/>
          <w:szCs w:val="24"/>
        </w:rPr>
        <w:t xml:space="preserve">. V této oblasti také nebyl zohledněn fakt, </w:t>
      </w:r>
      <w:r w:rsidR="00A83FEB" w:rsidRPr="00042362">
        <w:rPr>
          <w:rFonts w:ascii="Arial" w:hAnsi="Arial" w:cs="Arial"/>
          <w:sz w:val="24"/>
          <w:szCs w:val="24"/>
        </w:rPr>
        <w:t>že</w:t>
      </w:r>
      <w:r w:rsidR="000B4E25" w:rsidRPr="00042362">
        <w:rPr>
          <w:rFonts w:ascii="Arial" w:hAnsi="Arial" w:cs="Arial"/>
          <w:sz w:val="24"/>
          <w:szCs w:val="24"/>
        </w:rPr>
        <w:t xml:space="preserve"> v minulých letech došlo k růstu nákladů, </w:t>
      </w:r>
      <w:r w:rsidR="00EB4B08">
        <w:rPr>
          <w:rFonts w:ascii="Arial" w:hAnsi="Arial" w:cs="Arial"/>
          <w:sz w:val="24"/>
          <w:szCs w:val="24"/>
        </w:rPr>
        <w:t>a to z důvodu změn daňového zatížení</w:t>
      </w:r>
      <w:r w:rsidR="000B4E25" w:rsidRPr="00042362">
        <w:rPr>
          <w:rFonts w:ascii="Arial" w:hAnsi="Arial" w:cs="Arial"/>
          <w:sz w:val="24"/>
          <w:szCs w:val="24"/>
        </w:rPr>
        <w:t xml:space="preserve">, </w:t>
      </w:r>
      <w:r w:rsidR="00A83FEB" w:rsidRPr="00042362">
        <w:rPr>
          <w:rFonts w:ascii="Arial" w:hAnsi="Arial" w:cs="Arial"/>
          <w:sz w:val="24"/>
          <w:szCs w:val="24"/>
        </w:rPr>
        <w:t xml:space="preserve">nárůstu cen </w:t>
      </w:r>
      <w:r w:rsidR="000B4E25" w:rsidRPr="00042362">
        <w:rPr>
          <w:rFonts w:ascii="Arial" w:hAnsi="Arial" w:cs="Arial"/>
          <w:sz w:val="24"/>
          <w:szCs w:val="24"/>
        </w:rPr>
        <w:t>energi</w:t>
      </w:r>
      <w:r w:rsidR="00A83FEB" w:rsidRPr="00042362">
        <w:rPr>
          <w:rFonts w:ascii="Arial" w:hAnsi="Arial" w:cs="Arial"/>
          <w:sz w:val="24"/>
          <w:szCs w:val="24"/>
        </w:rPr>
        <w:t>í</w:t>
      </w:r>
      <w:r w:rsidR="000B4E25" w:rsidRPr="00042362">
        <w:rPr>
          <w:rFonts w:ascii="Arial" w:hAnsi="Arial" w:cs="Arial"/>
          <w:sz w:val="24"/>
          <w:szCs w:val="24"/>
        </w:rPr>
        <w:t xml:space="preserve"> apod.</w:t>
      </w:r>
      <w:r w:rsidR="009D77AB" w:rsidRPr="00042362">
        <w:rPr>
          <w:rFonts w:ascii="Arial" w:hAnsi="Arial" w:cs="Arial"/>
          <w:sz w:val="24"/>
          <w:szCs w:val="24"/>
        </w:rPr>
        <w:t xml:space="preserve"> Všechny tyto </w:t>
      </w:r>
      <w:r w:rsidR="009D77AB" w:rsidRPr="00042362">
        <w:rPr>
          <w:rFonts w:ascii="Arial" w:hAnsi="Arial" w:cs="Arial"/>
          <w:sz w:val="24"/>
          <w:szCs w:val="24"/>
        </w:rPr>
        <w:lastRenderedPageBreak/>
        <w:t>náklady museli sanovat samotní poskytovatelé, kraje i obce, ale částečně i klienti</w:t>
      </w:r>
      <w:r w:rsidR="00EB4B08">
        <w:rPr>
          <w:rFonts w:ascii="Arial" w:hAnsi="Arial" w:cs="Arial"/>
          <w:sz w:val="24"/>
          <w:szCs w:val="24"/>
        </w:rPr>
        <w:t xml:space="preserve"> sociálních služeb</w:t>
      </w:r>
      <w:r w:rsidR="009D77AB" w:rsidRPr="00042362">
        <w:rPr>
          <w:rFonts w:ascii="Arial" w:hAnsi="Arial" w:cs="Arial"/>
          <w:sz w:val="24"/>
          <w:szCs w:val="24"/>
        </w:rPr>
        <w:t>.</w:t>
      </w:r>
    </w:p>
    <w:p w:rsidR="00694DB0" w:rsidRDefault="00694DB0" w:rsidP="000423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Dosavadní snaha Vlády ČR řešit krizovou situaci v oblasti financování sociálních služeb je zřejmá, ale pro náročný krizový rok 2015 bohužel nestačí.</w:t>
      </w:r>
    </w:p>
    <w:p w:rsidR="00042362" w:rsidRDefault="00042362" w:rsidP="000423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61D3">
        <w:rPr>
          <w:rFonts w:ascii="Arial" w:hAnsi="Arial" w:cs="Arial"/>
          <w:sz w:val="24"/>
          <w:szCs w:val="24"/>
        </w:rPr>
        <w:t>Dne 21. července 2014 bylo vydáno Usnesení vlády ČR č. 619 „O posílení prostředků na financování sociálních služeb v roce 2015“, ve kterém je uvedeno, že pro rok 2015 bude určeno na zlepšení odměňování pracovníků v sociálních službách 750 milionů Kč.</w:t>
      </w:r>
    </w:p>
    <w:p w:rsidR="00042362" w:rsidRPr="00D161D3" w:rsidRDefault="00042362" w:rsidP="000423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61D3">
        <w:rPr>
          <w:rFonts w:ascii="Arial" w:hAnsi="Arial" w:cs="Arial"/>
          <w:sz w:val="24"/>
          <w:szCs w:val="24"/>
        </w:rPr>
        <w:t>V listopadu 2014 došlo k navýšení platů zaměstnanců ve veřejných službách o 3,5% mzdových prostředků dle nařízení vlády ze dne 15. října 2014, kterým se mění nařízení vlády č. 564/2006 Sb., o platových poměrech zaměstnanců ve veřejných službách a správě, ve znění pozdějších předpisů. Toto navýšení se týkalo organizací zřizovaných státem, kraji a obcemi.</w:t>
      </w:r>
    </w:p>
    <w:p w:rsidR="00042362" w:rsidRPr="00BB70F1" w:rsidRDefault="00042362" w:rsidP="0004236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B70F1">
        <w:rPr>
          <w:rFonts w:ascii="Arial" w:hAnsi="Arial" w:cs="Arial"/>
          <w:b/>
          <w:sz w:val="24"/>
          <w:szCs w:val="24"/>
          <w:u w:val="single"/>
        </w:rPr>
        <w:t>Pro rok 2015</w:t>
      </w:r>
      <w:r w:rsidRPr="00D161D3">
        <w:rPr>
          <w:rFonts w:ascii="Arial" w:hAnsi="Arial" w:cs="Arial"/>
          <w:sz w:val="24"/>
          <w:szCs w:val="24"/>
        </w:rPr>
        <w:t xml:space="preserve"> bylo ze státního rozpočtu vyčleněno na sociální služby celkem 7,85 miliardy Kč, z toho </w:t>
      </w:r>
      <w:r w:rsidRPr="00BB70F1">
        <w:rPr>
          <w:rFonts w:ascii="Arial" w:hAnsi="Arial" w:cs="Arial"/>
          <w:b/>
          <w:sz w:val="24"/>
          <w:szCs w:val="24"/>
          <w:u w:val="single"/>
        </w:rPr>
        <w:t>kraje mají k dispozici na podporu sociálních služeb 7,58 miliardy Kč. V uvedené částce 7,58 miliard Kč je však zahrnuto i oněch 750 milionů deklarovaných v rámci usnesení vlády</w:t>
      </w:r>
      <w:r w:rsidR="00F23024" w:rsidRPr="00F23024">
        <w:rPr>
          <w:rFonts w:ascii="Arial" w:hAnsi="Arial" w:cs="Arial"/>
          <w:sz w:val="24"/>
          <w:szCs w:val="24"/>
        </w:rPr>
        <w:t xml:space="preserve"> </w:t>
      </w:r>
      <w:r w:rsidR="00F23024" w:rsidRPr="00D161D3">
        <w:rPr>
          <w:rFonts w:ascii="Arial" w:hAnsi="Arial" w:cs="Arial"/>
          <w:sz w:val="24"/>
          <w:szCs w:val="24"/>
        </w:rPr>
        <w:t>na zlepšení odměňování pracovníků v sociálních službách</w:t>
      </w:r>
      <w:r w:rsidRPr="00D161D3">
        <w:rPr>
          <w:rFonts w:ascii="Arial" w:hAnsi="Arial" w:cs="Arial"/>
          <w:sz w:val="24"/>
          <w:szCs w:val="24"/>
        </w:rPr>
        <w:t xml:space="preserve">. V porovnání s rokem 2014 je celková částka, kterou disponují kraje pouze o 30 miliónů vyšší. </w:t>
      </w:r>
      <w:r w:rsidRPr="00BB70F1">
        <w:rPr>
          <w:rFonts w:ascii="Arial" w:hAnsi="Arial" w:cs="Arial"/>
          <w:b/>
          <w:sz w:val="24"/>
          <w:szCs w:val="24"/>
          <w:u w:val="single"/>
        </w:rPr>
        <w:t>Po vyčlenění 750 miliónů na navýšení mezd a platů tak mají kraje reálně nižší objem finančních prostředků na podporu sociálníc</w:t>
      </w:r>
      <w:r w:rsidR="00ED1263" w:rsidRPr="00BB70F1">
        <w:rPr>
          <w:rFonts w:ascii="Arial" w:hAnsi="Arial" w:cs="Arial"/>
          <w:b/>
          <w:sz w:val="24"/>
          <w:szCs w:val="24"/>
          <w:u w:val="single"/>
        </w:rPr>
        <w:t>h služeb než v předcho</w:t>
      </w:r>
      <w:r w:rsidR="004A19F5">
        <w:rPr>
          <w:rFonts w:ascii="Arial" w:hAnsi="Arial" w:cs="Arial"/>
          <w:b/>
          <w:sz w:val="24"/>
          <w:szCs w:val="24"/>
          <w:u w:val="single"/>
        </w:rPr>
        <w:t>zím roce, a to o částku 720 miliónů</w:t>
      </w:r>
      <w:r w:rsidR="00ED1263" w:rsidRPr="00BB70F1">
        <w:rPr>
          <w:rFonts w:ascii="Arial" w:hAnsi="Arial" w:cs="Arial"/>
          <w:b/>
          <w:sz w:val="24"/>
          <w:szCs w:val="24"/>
          <w:u w:val="single"/>
        </w:rPr>
        <w:t xml:space="preserve"> Kč.</w:t>
      </w:r>
    </w:p>
    <w:p w:rsidR="00042362" w:rsidRPr="00D161D3" w:rsidRDefault="00694DB0" w:rsidP="000423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dokreslení závažnosti celé situace je třeba zdůraznit, že </w:t>
      </w:r>
      <w:r>
        <w:rPr>
          <w:rFonts w:ascii="Arial" w:hAnsi="Arial" w:cs="Arial"/>
          <w:b/>
          <w:sz w:val="24"/>
          <w:szCs w:val="24"/>
        </w:rPr>
        <w:t>v</w:t>
      </w:r>
      <w:r w:rsidR="00042362" w:rsidRPr="00ED1263">
        <w:rPr>
          <w:rFonts w:ascii="Arial" w:hAnsi="Arial" w:cs="Arial"/>
          <w:b/>
          <w:sz w:val="24"/>
          <w:szCs w:val="24"/>
        </w:rPr>
        <w:t> roce 2015 dochází také k očekávanému výpadku finančních prostředků z individuálních projektů krajů na služby sociální prevence</w:t>
      </w:r>
      <w:r w:rsidR="00042362" w:rsidRPr="00D161D3">
        <w:rPr>
          <w:rFonts w:ascii="Arial" w:hAnsi="Arial" w:cs="Arial"/>
          <w:sz w:val="24"/>
          <w:szCs w:val="24"/>
        </w:rPr>
        <w:t>, které byly hrazeny z fondů Evropské uni</w:t>
      </w:r>
      <w:r w:rsidR="00BB70F1">
        <w:rPr>
          <w:rFonts w:ascii="Arial" w:hAnsi="Arial" w:cs="Arial"/>
          <w:sz w:val="24"/>
          <w:szCs w:val="24"/>
        </w:rPr>
        <w:t>e. Tento výpadek činní cca 1 miliardu</w:t>
      </w:r>
      <w:r w:rsidR="00042362" w:rsidRPr="00D161D3">
        <w:rPr>
          <w:rFonts w:ascii="Arial" w:hAnsi="Arial" w:cs="Arial"/>
          <w:sz w:val="24"/>
          <w:szCs w:val="24"/>
        </w:rPr>
        <w:t xml:space="preserve"> Kč v celkovém objemu, pro</w:t>
      </w:r>
      <w:r w:rsidR="00BB70F1">
        <w:rPr>
          <w:rFonts w:ascii="Arial" w:hAnsi="Arial" w:cs="Arial"/>
          <w:sz w:val="24"/>
          <w:szCs w:val="24"/>
        </w:rPr>
        <w:t xml:space="preserve"> rok 2015 pak přibližně 250 miliónů</w:t>
      </w:r>
      <w:r w:rsidR="00042362" w:rsidRPr="00D161D3">
        <w:rPr>
          <w:rFonts w:ascii="Arial" w:hAnsi="Arial" w:cs="Arial"/>
          <w:sz w:val="24"/>
          <w:szCs w:val="24"/>
        </w:rPr>
        <w:t xml:space="preserve"> Kč. Kraje tak mají reálně méně finančních prostředků, jelikož je musejí rozdělit mezi více sociálních služeb, než tomu bylo v roce 2014. </w:t>
      </w:r>
    </w:p>
    <w:p w:rsidR="00042362" w:rsidRPr="00D161D3" w:rsidRDefault="00042362" w:rsidP="0004236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61D3">
        <w:rPr>
          <w:rFonts w:ascii="Arial" w:hAnsi="Arial" w:cs="Arial"/>
          <w:sz w:val="24"/>
          <w:szCs w:val="24"/>
        </w:rPr>
        <w:t>Souhrn všech těchto sk</w:t>
      </w:r>
      <w:r>
        <w:rPr>
          <w:rFonts w:ascii="Arial" w:hAnsi="Arial" w:cs="Arial"/>
          <w:sz w:val="24"/>
          <w:szCs w:val="24"/>
        </w:rPr>
        <w:t>utečností tedy zapříčinil onen výpadek</w:t>
      </w:r>
      <w:r w:rsidRPr="00D161D3">
        <w:rPr>
          <w:rFonts w:ascii="Arial" w:hAnsi="Arial" w:cs="Arial"/>
          <w:sz w:val="24"/>
          <w:szCs w:val="24"/>
        </w:rPr>
        <w:t xml:space="preserve"> finančních prostředků pro sociální služby, i když reálně je celková alokace státního rozpočtu na sociální služby vyšší než v roce 2014. </w:t>
      </w:r>
    </w:p>
    <w:p w:rsidR="00777F82" w:rsidRDefault="00777F82" w:rsidP="00777F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161D3">
        <w:rPr>
          <w:rFonts w:ascii="Arial" w:hAnsi="Arial" w:cs="Arial"/>
          <w:sz w:val="24"/>
          <w:szCs w:val="24"/>
        </w:rPr>
        <w:lastRenderedPageBreak/>
        <w:t xml:space="preserve">Na uvedený komplex problémů MPSV intenzivně upozorňuje již delší dobu, avšak prozatím nebylo </w:t>
      </w:r>
      <w:r>
        <w:rPr>
          <w:rFonts w:ascii="Arial" w:hAnsi="Arial" w:cs="Arial"/>
          <w:sz w:val="24"/>
          <w:szCs w:val="24"/>
        </w:rPr>
        <w:t xml:space="preserve">na argumenty </w:t>
      </w:r>
      <w:r w:rsidRPr="00D161D3">
        <w:rPr>
          <w:rFonts w:ascii="Arial" w:hAnsi="Arial" w:cs="Arial"/>
          <w:sz w:val="24"/>
          <w:szCs w:val="24"/>
        </w:rPr>
        <w:t>MPSV reflektováno.</w:t>
      </w:r>
    </w:p>
    <w:p w:rsidR="006A02B3" w:rsidRDefault="007458B8" w:rsidP="004751D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5D67">
        <w:rPr>
          <w:rFonts w:ascii="Arial" w:hAnsi="Arial" w:cs="Arial"/>
          <w:b/>
          <w:sz w:val="24"/>
          <w:szCs w:val="24"/>
          <w:u w:val="single"/>
        </w:rPr>
        <w:t xml:space="preserve">Dofinancování sociálních pro rok 2015 je nevyhnutné řešit </w:t>
      </w:r>
      <w:r w:rsidR="00ED1263" w:rsidRPr="00E45D67">
        <w:rPr>
          <w:rFonts w:ascii="Arial" w:hAnsi="Arial" w:cs="Arial"/>
          <w:b/>
          <w:sz w:val="24"/>
          <w:szCs w:val="24"/>
          <w:u w:val="single"/>
        </w:rPr>
        <w:t>okamžitě</w:t>
      </w:r>
      <w:r w:rsidRPr="00D7237B">
        <w:rPr>
          <w:rFonts w:ascii="Arial" w:hAnsi="Arial" w:cs="Arial"/>
          <w:b/>
          <w:sz w:val="24"/>
          <w:szCs w:val="24"/>
        </w:rPr>
        <w:t>, protože v souvislosti s přechodem financování sociálních služeb na krajskou úrove</w:t>
      </w:r>
      <w:r w:rsidR="00ED1263" w:rsidRPr="00D7237B">
        <w:rPr>
          <w:rFonts w:ascii="Arial" w:hAnsi="Arial" w:cs="Arial"/>
          <w:b/>
          <w:sz w:val="24"/>
          <w:szCs w:val="24"/>
        </w:rPr>
        <w:t xml:space="preserve">ň </w:t>
      </w:r>
      <w:r w:rsidR="00694DB0">
        <w:rPr>
          <w:rFonts w:ascii="Arial" w:hAnsi="Arial" w:cs="Arial"/>
          <w:b/>
          <w:sz w:val="24"/>
          <w:szCs w:val="24"/>
        </w:rPr>
        <w:t xml:space="preserve">dle § 101a zákona o sociálních službách </w:t>
      </w:r>
      <w:r w:rsidR="00ED1263" w:rsidRPr="00D7237B">
        <w:rPr>
          <w:rFonts w:ascii="Arial" w:hAnsi="Arial" w:cs="Arial"/>
          <w:b/>
          <w:sz w:val="24"/>
          <w:szCs w:val="24"/>
        </w:rPr>
        <w:t>jsou kraje při rozdělování finančních prostředků limitovány termíny zasedání svých samosprávných orgánů</w:t>
      </w:r>
      <w:r w:rsidR="00ED1263" w:rsidRPr="00ED1263">
        <w:rPr>
          <w:rFonts w:ascii="Arial" w:hAnsi="Arial" w:cs="Arial"/>
          <w:sz w:val="24"/>
          <w:szCs w:val="24"/>
        </w:rPr>
        <w:t>, které dle zákona o sociálních službách dotace poskytovatelům sociálních služeb schvalují. V případě odkladu potřebného dofinancování by kraje nebyly schopny distribuovat finanční prostředky k poskytovatelům sociálních služeb včas.</w:t>
      </w:r>
      <w:r w:rsidR="00ED1263">
        <w:rPr>
          <w:rFonts w:ascii="Arial" w:hAnsi="Arial" w:cs="Arial"/>
          <w:sz w:val="24"/>
          <w:szCs w:val="24"/>
        </w:rPr>
        <w:t xml:space="preserve"> </w:t>
      </w:r>
      <w:r w:rsidR="00ED1263" w:rsidRPr="00D7237B">
        <w:rPr>
          <w:rFonts w:ascii="Arial" w:hAnsi="Arial" w:cs="Arial"/>
          <w:b/>
          <w:sz w:val="24"/>
          <w:szCs w:val="24"/>
        </w:rPr>
        <w:t xml:space="preserve">Dále došlo k novele </w:t>
      </w:r>
      <w:r w:rsidR="00D7237B" w:rsidRPr="00D7237B">
        <w:rPr>
          <w:rFonts w:ascii="Arial" w:hAnsi="Arial" w:cs="Arial"/>
          <w:b/>
          <w:sz w:val="24"/>
          <w:szCs w:val="24"/>
        </w:rPr>
        <w:t>zákona č. 250/2000 Sb., o rozpočtových pravidlech územních rozpočtů,</w:t>
      </w:r>
      <w:r w:rsidR="00D7237B" w:rsidRPr="00D7237B">
        <w:rPr>
          <w:rFonts w:ascii="Arial" w:hAnsi="Arial" w:cs="Arial"/>
          <w:sz w:val="24"/>
          <w:szCs w:val="24"/>
        </w:rPr>
        <w:t xml:space="preserve"> ve znění pozdějších předpisů, kde je nově stanoveno, že veřejné prostředky lze vyplácet pouze na základě veřejnoprávní smlouvy (dříve bylo možné poskytovat dotace na základě Rozhodnutí o poskytnutí dotace, jednostranného právního aktu), což je dvoustranný právní akt, kdy dokud nedojde k podepsání oběma stranami,</w:t>
      </w:r>
      <w:r w:rsidR="00D7237B">
        <w:rPr>
          <w:rFonts w:ascii="Arial" w:hAnsi="Arial" w:cs="Arial"/>
          <w:sz w:val="24"/>
          <w:szCs w:val="24"/>
        </w:rPr>
        <w:t xml:space="preserve"> tj. krajem a poskytovatelem sociální služby,</w:t>
      </w:r>
      <w:r w:rsidR="00D7237B" w:rsidRPr="00D7237B">
        <w:rPr>
          <w:rFonts w:ascii="Arial" w:hAnsi="Arial" w:cs="Arial"/>
          <w:sz w:val="24"/>
          <w:szCs w:val="24"/>
        </w:rPr>
        <w:t xml:space="preserve"> nelze prostředky uvolnit.</w:t>
      </w:r>
      <w:r w:rsidR="00D7237B">
        <w:rPr>
          <w:rFonts w:ascii="Arial" w:hAnsi="Arial" w:cs="Arial"/>
          <w:sz w:val="24"/>
          <w:szCs w:val="24"/>
        </w:rPr>
        <w:t xml:space="preserve"> Tato </w:t>
      </w:r>
      <w:r w:rsidR="00694DB0">
        <w:rPr>
          <w:rFonts w:ascii="Arial" w:hAnsi="Arial" w:cs="Arial"/>
          <w:sz w:val="24"/>
          <w:szCs w:val="24"/>
        </w:rPr>
        <w:t xml:space="preserve">nová </w:t>
      </w:r>
      <w:r w:rsidR="00D7237B">
        <w:rPr>
          <w:rFonts w:ascii="Arial" w:hAnsi="Arial" w:cs="Arial"/>
          <w:sz w:val="24"/>
          <w:szCs w:val="24"/>
        </w:rPr>
        <w:t xml:space="preserve">skutečnost </w:t>
      </w:r>
      <w:r w:rsidR="00694DB0">
        <w:rPr>
          <w:rFonts w:ascii="Arial" w:hAnsi="Arial" w:cs="Arial"/>
          <w:sz w:val="24"/>
          <w:szCs w:val="24"/>
        </w:rPr>
        <w:t>tedy také</w:t>
      </w:r>
      <w:r w:rsidR="00D7237B">
        <w:rPr>
          <w:rFonts w:ascii="Arial" w:hAnsi="Arial" w:cs="Arial"/>
          <w:sz w:val="24"/>
          <w:szCs w:val="24"/>
        </w:rPr>
        <w:t xml:space="preserve"> prodlužuje výplatu finančních prostředků.</w:t>
      </w:r>
      <w:r w:rsidR="006015DE">
        <w:rPr>
          <w:rFonts w:ascii="Arial" w:hAnsi="Arial" w:cs="Arial"/>
          <w:sz w:val="24"/>
          <w:szCs w:val="24"/>
        </w:rPr>
        <w:t xml:space="preserve"> </w:t>
      </w:r>
      <w:r w:rsidR="006015DE" w:rsidRPr="006015DE">
        <w:rPr>
          <w:rFonts w:ascii="Arial" w:hAnsi="Arial" w:cs="Arial"/>
          <w:b/>
          <w:sz w:val="24"/>
          <w:szCs w:val="24"/>
        </w:rPr>
        <w:t>Novela</w:t>
      </w:r>
      <w:r w:rsidR="00D7237B" w:rsidRPr="006015DE">
        <w:rPr>
          <w:rFonts w:ascii="Arial" w:hAnsi="Arial" w:cs="Arial"/>
          <w:b/>
          <w:sz w:val="24"/>
          <w:szCs w:val="24"/>
        </w:rPr>
        <w:t xml:space="preserve"> rozpočtové skladby</w:t>
      </w:r>
      <w:r w:rsidR="00D7237B" w:rsidRPr="00D7237B">
        <w:rPr>
          <w:rFonts w:ascii="Arial" w:hAnsi="Arial" w:cs="Arial"/>
          <w:sz w:val="24"/>
          <w:szCs w:val="24"/>
        </w:rPr>
        <w:t xml:space="preserve"> (vyhláška č. 323/2002 Sb.) pro rok 2014 (novelizace vyhláškou č. 464/2013 Sb.), </w:t>
      </w:r>
      <w:r w:rsidR="006015DE">
        <w:rPr>
          <w:rFonts w:ascii="Arial" w:hAnsi="Arial" w:cs="Arial"/>
          <w:sz w:val="24"/>
          <w:szCs w:val="24"/>
        </w:rPr>
        <w:t>pak stanovila, že</w:t>
      </w:r>
      <w:r w:rsidR="00D7237B" w:rsidRPr="00D7237B">
        <w:rPr>
          <w:rFonts w:ascii="Arial" w:hAnsi="Arial" w:cs="Arial"/>
          <w:sz w:val="24"/>
          <w:szCs w:val="24"/>
        </w:rPr>
        <w:t xml:space="preserve"> transfery poskytované př</w:t>
      </w:r>
      <w:r w:rsidR="006015DE">
        <w:rPr>
          <w:rFonts w:ascii="Arial" w:hAnsi="Arial" w:cs="Arial"/>
          <w:sz w:val="24"/>
          <w:szCs w:val="24"/>
        </w:rPr>
        <w:t>íspěvkovým organizacím zřízeným</w:t>
      </w:r>
      <w:r w:rsidR="00D7237B" w:rsidRPr="00D7237B">
        <w:rPr>
          <w:rFonts w:ascii="Arial" w:hAnsi="Arial" w:cs="Arial"/>
          <w:sz w:val="24"/>
          <w:szCs w:val="24"/>
        </w:rPr>
        <w:t xml:space="preserve"> obcemi či kraji </w:t>
      </w:r>
      <w:r w:rsidR="006015DE" w:rsidRPr="006015DE">
        <w:rPr>
          <w:rFonts w:ascii="Arial" w:hAnsi="Arial" w:cs="Arial"/>
          <w:sz w:val="24"/>
          <w:szCs w:val="24"/>
        </w:rPr>
        <w:t>mají být poskytovány prostřednictvím rozpočtu zřizovatele</w:t>
      </w:r>
      <w:r w:rsidR="006015DE">
        <w:rPr>
          <w:rFonts w:ascii="Arial" w:hAnsi="Arial" w:cs="Arial"/>
          <w:sz w:val="24"/>
          <w:szCs w:val="24"/>
        </w:rPr>
        <w:t xml:space="preserve">, což </w:t>
      </w:r>
      <w:r w:rsidR="006015DE" w:rsidRPr="006015DE">
        <w:rPr>
          <w:rFonts w:ascii="Arial" w:hAnsi="Arial" w:cs="Arial"/>
          <w:sz w:val="24"/>
          <w:szCs w:val="24"/>
        </w:rPr>
        <w:t>konkrétně u dotací poskytovaných na sociální služby znamená že, prostředky</w:t>
      </w:r>
      <w:r w:rsidR="006015DE">
        <w:rPr>
          <w:rFonts w:ascii="Arial" w:hAnsi="Arial" w:cs="Arial"/>
          <w:sz w:val="24"/>
          <w:szCs w:val="24"/>
        </w:rPr>
        <w:t>,</w:t>
      </w:r>
      <w:r w:rsidR="006015DE" w:rsidRPr="006015DE">
        <w:rPr>
          <w:rFonts w:ascii="Arial" w:hAnsi="Arial" w:cs="Arial"/>
          <w:sz w:val="24"/>
          <w:szCs w:val="24"/>
        </w:rPr>
        <w:t xml:space="preserve"> které dosud kraje posílaly přímo příspěvkovým organizacím zřízeným obcemi</w:t>
      </w:r>
      <w:r w:rsidR="006015DE">
        <w:rPr>
          <w:rFonts w:ascii="Arial" w:hAnsi="Arial" w:cs="Arial"/>
          <w:sz w:val="24"/>
          <w:szCs w:val="24"/>
        </w:rPr>
        <w:t>,</w:t>
      </w:r>
      <w:r w:rsidR="006015DE" w:rsidRPr="006015DE">
        <w:rPr>
          <w:rFonts w:ascii="Arial" w:hAnsi="Arial" w:cs="Arial"/>
          <w:sz w:val="24"/>
          <w:szCs w:val="24"/>
        </w:rPr>
        <w:t xml:space="preserve"> musí být nyní nejdříve přijaty do rozpočtu obce, až poté můžou být vyplaceny příspěvkové organizaci. </w:t>
      </w:r>
    </w:p>
    <w:p w:rsidR="004751DF" w:rsidRPr="004751DF" w:rsidRDefault="004751DF" w:rsidP="004751D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7EF8" w:rsidRPr="004751DF" w:rsidRDefault="0035543F" w:rsidP="00A7358A">
      <w:pPr>
        <w:rPr>
          <w:rFonts w:ascii="Arial" w:hAnsi="Arial" w:cs="Arial"/>
          <w:b/>
          <w:sz w:val="24"/>
          <w:szCs w:val="24"/>
          <w:u w:val="single"/>
        </w:rPr>
      </w:pPr>
      <w:r w:rsidRPr="004751DF">
        <w:rPr>
          <w:rFonts w:ascii="Arial" w:hAnsi="Arial" w:cs="Arial"/>
          <w:b/>
          <w:sz w:val="24"/>
          <w:szCs w:val="24"/>
          <w:u w:val="single"/>
        </w:rPr>
        <w:t>Shrnutí</w:t>
      </w:r>
      <w:r w:rsidR="00FB7EF8" w:rsidRPr="004751DF">
        <w:rPr>
          <w:rFonts w:ascii="Arial" w:hAnsi="Arial" w:cs="Arial"/>
          <w:b/>
          <w:sz w:val="24"/>
          <w:szCs w:val="24"/>
          <w:u w:val="single"/>
        </w:rPr>
        <w:t xml:space="preserve"> negativních důsledků, pokud nedojde k dofinancování sociálních služeb:</w:t>
      </w:r>
    </w:p>
    <w:p w:rsidR="00FB7EF8" w:rsidRPr="00287680" w:rsidRDefault="00FB7EF8" w:rsidP="0035543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680">
        <w:rPr>
          <w:rFonts w:ascii="Arial" w:hAnsi="Arial" w:cs="Arial"/>
          <w:sz w:val="24"/>
          <w:szCs w:val="24"/>
        </w:rPr>
        <w:t>nebude možné zajistit fungování již některých stávajících sociálních služeb (zejm. domovy pro seniory nebo domovy pro osoby se zdravotním postižením)</w:t>
      </w:r>
      <w:r w:rsidR="0035543F" w:rsidRPr="00287680">
        <w:rPr>
          <w:rFonts w:ascii="Arial" w:hAnsi="Arial" w:cs="Arial"/>
          <w:sz w:val="24"/>
          <w:szCs w:val="24"/>
        </w:rPr>
        <w:t>, které jsou nuceny výrazně omezovat nebo rušit potřebné služby</w:t>
      </w:r>
      <w:r w:rsidRPr="00287680">
        <w:rPr>
          <w:rFonts w:ascii="Arial" w:hAnsi="Arial" w:cs="Arial"/>
          <w:sz w:val="24"/>
          <w:szCs w:val="24"/>
        </w:rPr>
        <w:t xml:space="preserve">; </w:t>
      </w:r>
    </w:p>
    <w:p w:rsidR="00FB7EF8" w:rsidRPr="00287680" w:rsidRDefault="00FB7EF8" w:rsidP="0035543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680">
        <w:rPr>
          <w:rFonts w:ascii="Arial" w:hAnsi="Arial" w:cs="Arial"/>
          <w:sz w:val="24"/>
          <w:szCs w:val="24"/>
        </w:rPr>
        <w:t xml:space="preserve">bude docházek k prohlubování nedostupnosti a zhoršování kvality </w:t>
      </w:r>
      <w:r w:rsidR="0035543F" w:rsidRPr="00287680">
        <w:rPr>
          <w:rFonts w:ascii="Arial" w:hAnsi="Arial" w:cs="Arial"/>
          <w:sz w:val="24"/>
          <w:szCs w:val="24"/>
        </w:rPr>
        <w:t>sociálních služeb</w:t>
      </w:r>
      <w:r w:rsidRPr="00287680">
        <w:rPr>
          <w:rFonts w:ascii="Arial" w:hAnsi="Arial" w:cs="Arial"/>
          <w:sz w:val="24"/>
          <w:szCs w:val="24"/>
        </w:rPr>
        <w:t>;</w:t>
      </w:r>
    </w:p>
    <w:p w:rsidR="00FB7EF8" w:rsidRPr="00287680" w:rsidRDefault="00FB7EF8" w:rsidP="0035543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680">
        <w:rPr>
          <w:rFonts w:ascii="Arial" w:hAnsi="Arial" w:cs="Arial"/>
          <w:sz w:val="24"/>
          <w:szCs w:val="24"/>
        </w:rPr>
        <w:lastRenderedPageBreak/>
        <w:t xml:space="preserve">bude se zhoršovat kvalita </w:t>
      </w:r>
      <w:r w:rsidR="00E10B0F">
        <w:rPr>
          <w:rFonts w:ascii="Arial" w:hAnsi="Arial" w:cs="Arial"/>
          <w:sz w:val="24"/>
          <w:szCs w:val="24"/>
        </w:rPr>
        <w:t xml:space="preserve">poskytování </w:t>
      </w:r>
      <w:r w:rsidRPr="00287680">
        <w:rPr>
          <w:rFonts w:ascii="Arial" w:hAnsi="Arial" w:cs="Arial"/>
          <w:sz w:val="24"/>
          <w:szCs w:val="24"/>
        </w:rPr>
        <w:t>sociálních služeb, které jsou určené pro seniory a zdravotně postižené občany nebo jinak ohrožené sociální skupiny</w:t>
      </w:r>
      <w:r w:rsidR="0035543F" w:rsidRPr="00287680">
        <w:rPr>
          <w:rFonts w:ascii="Arial" w:hAnsi="Arial" w:cs="Arial"/>
          <w:sz w:val="24"/>
          <w:szCs w:val="24"/>
        </w:rPr>
        <w:t>, ale také dostupnost stávajících služeb, zejm. v chudých regionech ČR</w:t>
      </w:r>
      <w:r w:rsidRPr="00287680">
        <w:rPr>
          <w:rFonts w:ascii="Arial" w:hAnsi="Arial" w:cs="Arial"/>
          <w:sz w:val="24"/>
          <w:szCs w:val="24"/>
        </w:rPr>
        <w:t>;</w:t>
      </w:r>
    </w:p>
    <w:p w:rsidR="0035543F" w:rsidRPr="00077190" w:rsidRDefault="00077190" w:rsidP="0035543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poskytovatelé sociálních služeb nebudou schopni realizovat </w:t>
      </w:r>
      <w:r w:rsidR="004751DF">
        <w:rPr>
          <w:rFonts w:ascii="Arial" w:hAnsi="Arial" w:cs="Arial"/>
          <w:sz w:val="24"/>
          <w:szCs w:val="24"/>
        </w:rPr>
        <w:t xml:space="preserve">avizované </w:t>
      </w:r>
      <w:r>
        <w:rPr>
          <w:rFonts w:ascii="Arial" w:hAnsi="Arial" w:cs="Arial"/>
          <w:sz w:val="24"/>
          <w:szCs w:val="24"/>
        </w:rPr>
        <w:t>navýšení platů a mezd</w:t>
      </w:r>
      <w:r w:rsidR="004751DF">
        <w:rPr>
          <w:rFonts w:ascii="Arial" w:hAnsi="Arial" w:cs="Arial"/>
          <w:sz w:val="24"/>
          <w:szCs w:val="24"/>
        </w:rPr>
        <w:t>, v případě, že navýšení již realizují (což se ve skutečnosti děje), nebudou mít dostatek finančních prostředků na další provozní náklady</w:t>
      </w:r>
      <w:r w:rsidR="0035543F" w:rsidRPr="00077190">
        <w:rPr>
          <w:rFonts w:ascii="Arial" w:hAnsi="Arial" w:cs="Arial"/>
          <w:sz w:val="24"/>
          <w:szCs w:val="24"/>
        </w:rPr>
        <w:t>;</w:t>
      </w:r>
    </w:p>
    <w:p w:rsidR="00FB7EF8" w:rsidRDefault="0035543F" w:rsidP="00BF654C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680">
        <w:rPr>
          <w:rFonts w:ascii="Arial" w:hAnsi="Arial" w:cs="Arial"/>
          <w:sz w:val="24"/>
          <w:szCs w:val="24"/>
        </w:rPr>
        <w:t>nebudou se reflektovat dlouhodobé požadavky</w:t>
      </w:r>
      <w:r w:rsidR="00FB7EF8" w:rsidRPr="00287680">
        <w:rPr>
          <w:rFonts w:ascii="Arial" w:hAnsi="Arial" w:cs="Arial"/>
          <w:sz w:val="24"/>
          <w:szCs w:val="24"/>
        </w:rPr>
        <w:t xml:space="preserve"> ze strany poskytovatelů sociálních služeb a zástupců odborových organizací</w:t>
      </w:r>
      <w:r w:rsidRPr="00287680">
        <w:rPr>
          <w:rFonts w:ascii="Arial" w:hAnsi="Arial" w:cs="Arial"/>
          <w:sz w:val="24"/>
          <w:szCs w:val="24"/>
        </w:rPr>
        <w:t xml:space="preserve"> a zaměstnavatelů.</w:t>
      </w:r>
    </w:p>
    <w:p w:rsidR="00E45D67" w:rsidRPr="00287680" w:rsidRDefault="00E45D67" w:rsidP="00E10B0F">
      <w:pPr>
        <w:pStyle w:val="Odstavecseseznamem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238E" w:rsidRDefault="00E10B0F" w:rsidP="00CA23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MPSV je připraveno podílet se na dofinancování sociálních služeb v objemu </w:t>
      </w:r>
      <w:r w:rsidRPr="00E10B0F">
        <w:rPr>
          <w:rFonts w:ascii="Arial" w:hAnsi="Arial" w:cs="Arial"/>
          <w:sz w:val="24"/>
          <w:szCs w:val="24"/>
        </w:rPr>
        <w:t xml:space="preserve">300 miliónů Kč, přičemž </w:t>
      </w:r>
      <w:r>
        <w:rPr>
          <w:rFonts w:ascii="Arial" w:hAnsi="Arial" w:cs="Arial"/>
          <w:sz w:val="24"/>
          <w:szCs w:val="24"/>
        </w:rPr>
        <w:t>jako zdroj budou</w:t>
      </w:r>
      <w:r w:rsidRPr="00E10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využity neprofilující nároky</w:t>
      </w:r>
      <w:r w:rsidRPr="00E10B0F">
        <w:rPr>
          <w:rFonts w:ascii="Arial" w:hAnsi="Arial" w:cs="Arial"/>
          <w:sz w:val="24"/>
          <w:szCs w:val="24"/>
        </w:rPr>
        <w:t xml:space="preserve"> z nespotřebovaných výdajů.</w:t>
      </w:r>
      <w:r w:rsidR="00CA238E">
        <w:rPr>
          <w:rFonts w:ascii="Arial" w:hAnsi="Arial" w:cs="Arial"/>
          <w:sz w:val="24"/>
          <w:szCs w:val="24"/>
        </w:rPr>
        <w:t xml:space="preserve"> </w:t>
      </w:r>
      <w:r w:rsidR="00CA238E" w:rsidRPr="00CA238E">
        <w:rPr>
          <w:rFonts w:ascii="Arial" w:hAnsi="Arial" w:cs="Arial"/>
          <w:sz w:val="24"/>
          <w:szCs w:val="24"/>
        </w:rPr>
        <w:t xml:space="preserve">Zbývající finanční prostředky ve výši 420 miliónů </w:t>
      </w:r>
      <w:r w:rsidR="009206B8">
        <w:rPr>
          <w:rFonts w:ascii="Arial" w:hAnsi="Arial" w:cs="Arial"/>
          <w:sz w:val="24"/>
          <w:szCs w:val="24"/>
        </w:rPr>
        <w:t>navrhuje MPSV zajistit</w:t>
      </w:r>
      <w:bookmarkStart w:id="8" w:name="_GoBack"/>
      <w:bookmarkEnd w:id="8"/>
      <w:r w:rsidR="00CA238E" w:rsidRPr="00CA238E">
        <w:rPr>
          <w:rFonts w:ascii="Arial" w:hAnsi="Arial" w:cs="Arial"/>
          <w:sz w:val="24"/>
          <w:szCs w:val="24"/>
        </w:rPr>
        <w:t xml:space="preserve"> z kapitoly Všeobecná pokladní správa, z položky Vládní rozpočtová rezerva.</w:t>
      </w:r>
    </w:p>
    <w:p w:rsidR="00E10B0F" w:rsidRDefault="00E10B0F" w:rsidP="00E10B0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5543F" w:rsidRPr="00287680" w:rsidRDefault="00C55380" w:rsidP="00145FB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7680">
        <w:rPr>
          <w:rFonts w:ascii="Arial" w:hAnsi="Arial" w:cs="Arial"/>
          <w:sz w:val="24"/>
          <w:szCs w:val="24"/>
        </w:rPr>
        <w:t>V př</w:t>
      </w:r>
      <w:r w:rsidR="00E45D67">
        <w:rPr>
          <w:rFonts w:ascii="Arial" w:hAnsi="Arial" w:cs="Arial"/>
          <w:sz w:val="24"/>
          <w:szCs w:val="24"/>
        </w:rPr>
        <w:t xml:space="preserve">ípadě, že dojde k navýšení o </w:t>
      </w:r>
      <w:r w:rsidR="00E10B0F">
        <w:rPr>
          <w:rFonts w:ascii="Arial" w:hAnsi="Arial" w:cs="Arial"/>
          <w:sz w:val="24"/>
          <w:szCs w:val="24"/>
        </w:rPr>
        <w:t>720 miliónů, které</w:t>
      </w:r>
      <w:r w:rsidRPr="00287680">
        <w:rPr>
          <w:rFonts w:ascii="Arial" w:hAnsi="Arial" w:cs="Arial"/>
          <w:sz w:val="24"/>
          <w:szCs w:val="24"/>
        </w:rPr>
        <w:t xml:space="preserve"> MPSV přerozdělí nejvíce ohroženým sociálním službám, bude výše uvedená rizika minimalizována.</w:t>
      </w:r>
    </w:p>
    <w:p w:rsidR="000B4E25" w:rsidRPr="00287680" w:rsidRDefault="000B4E25" w:rsidP="00145FB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7680">
        <w:rPr>
          <w:rFonts w:ascii="Arial" w:hAnsi="Arial" w:cs="Arial"/>
          <w:sz w:val="24"/>
          <w:szCs w:val="24"/>
        </w:rPr>
        <w:t xml:space="preserve">Výše rozpočtově nezajištěné potřeby finančních prostředků na dofinancování sociálních služeb byla na základě šetření MPSV a požadavků jednotlivých krajů kvantifikována ve výši </w:t>
      </w:r>
      <w:r w:rsidR="00E10B0F">
        <w:rPr>
          <w:rFonts w:ascii="Arial" w:hAnsi="Arial" w:cs="Arial"/>
          <w:b/>
          <w:sz w:val="24"/>
          <w:szCs w:val="24"/>
        </w:rPr>
        <w:t>720 miliónů</w:t>
      </w:r>
      <w:r w:rsidRPr="00287680">
        <w:rPr>
          <w:rFonts w:ascii="Arial" w:hAnsi="Arial" w:cs="Arial"/>
          <w:b/>
          <w:sz w:val="24"/>
          <w:szCs w:val="24"/>
        </w:rPr>
        <w:t xml:space="preserve"> Kč.</w:t>
      </w:r>
    </w:p>
    <w:p w:rsidR="000B4E25" w:rsidRPr="00287680" w:rsidRDefault="000B4E25" w:rsidP="000B4E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0B4E25" w:rsidRPr="00287680" w:rsidRDefault="000B4E25" w:rsidP="000B4E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4E25" w:rsidRPr="00287680" w:rsidSect="00E41E8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4DE" w:rsidRDefault="00F634DE" w:rsidP="00D95DD7">
      <w:pPr>
        <w:spacing w:after="0" w:line="240" w:lineRule="auto"/>
      </w:pPr>
      <w:r>
        <w:separator/>
      </w:r>
    </w:p>
  </w:endnote>
  <w:endnote w:type="continuationSeparator" w:id="0">
    <w:p w:rsidR="00F634DE" w:rsidRDefault="00F634DE" w:rsidP="00D9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234325"/>
      <w:docPartObj>
        <w:docPartGallery w:val="Page Numbers (Bottom of Page)"/>
        <w:docPartUnique/>
      </w:docPartObj>
    </w:sdtPr>
    <w:sdtContent>
      <w:p w:rsidR="00D95DD7" w:rsidRDefault="00E41E8C">
        <w:pPr>
          <w:pStyle w:val="Zpat"/>
          <w:jc w:val="center"/>
        </w:pPr>
        <w:r>
          <w:fldChar w:fldCharType="begin"/>
        </w:r>
        <w:r w:rsidR="00D95DD7">
          <w:instrText>PAGE   \* MERGEFORMAT</w:instrText>
        </w:r>
        <w:r>
          <w:fldChar w:fldCharType="separate"/>
        </w:r>
        <w:r w:rsidR="00961948">
          <w:rPr>
            <w:noProof/>
          </w:rPr>
          <w:t>3</w:t>
        </w:r>
        <w:r>
          <w:fldChar w:fldCharType="end"/>
        </w:r>
      </w:p>
    </w:sdtContent>
  </w:sdt>
  <w:p w:rsidR="00D95DD7" w:rsidRDefault="00D95DD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4DE" w:rsidRDefault="00F634DE" w:rsidP="00D95DD7">
      <w:pPr>
        <w:spacing w:after="0" w:line="240" w:lineRule="auto"/>
      </w:pPr>
      <w:r>
        <w:separator/>
      </w:r>
    </w:p>
  </w:footnote>
  <w:footnote w:type="continuationSeparator" w:id="0">
    <w:p w:rsidR="00F634DE" w:rsidRDefault="00F634DE" w:rsidP="00D95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17A"/>
    <w:multiLevelType w:val="hybridMultilevel"/>
    <w:tmpl w:val="40B005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17599"/>
    <w:multiLevelType w:val="hybridMultilevel"/>
    <w:tmpl w:val="7B3E6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813E4"/>
    <w:multiLevelType w:val="hybridMultilevel"/>
    <w:tmpl w:val="CBB200C8"/>
    <w:lvl w:ilvl="0" w:tplc="040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2C03DA5"/>
    <w:multiLevelType w:val="hybridMultilevel"/>
    <w:tmpl w:val="508A434E"/>
    <w:lvl w:ilvl="0" w:tplc="812E2D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25B27"/>
    <w:multiLevelType w:val="hybridMultilevel"/>
    <w:tmpl w:val="7D825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95C1B"/>
    <w:multiLevelType w:val="hybridMultilevel"/>
    <w:tmpl w:val="9CB2CBE8"/>
    <w:lvl w:ilvl="0" w:tplc="812E2DE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60B2E"/>
    <w:multiLevelType w:val="hybridMultilevel"/>
    <w:tmpl w:val="0868C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DD7"/>
    <w:rsid w:val="0000202F"/>
    <w:rsid w:val="00030A5F"/>
    <w:rsid w:val="00042362"/>
    <w:rsid w:val="00045F79"/>
    <w:rsid w:val="00055480"/>
    <w:rsid w:val="00075424"/>
    <w:rsid w:val="00077190"/>
    <w:rsid w:val="000947CD"/>
    <w:rsid w:val="000B4E25"/>
    <w:rsid w:val="000D1690"/>
    <w:rsid w:val="000E2CCA"/>
    <w:rsid w:val="000E2E13"/>
    <w:rsid w:val="000F0A51"/>
    <w:rsid w:val="00105917"/>
    <w:rsid w:val="00127DCC"/>
    <w:rsid w:val="00145FB0"/>
    <w:rsid w:val="00156B50"/>
    <w:rsid w:val="001642B0"/>
    <w:rsid w:val="001937D9"/>
    <w:rsid w:val="0019488F"/>
    <w:rsid w:val="001B0E9B"/>
    <w:rsid w:val="001E57D1"/>
    <w:rsid w:val="002005AF"/>
    <w:rsid w:val="0022159F"/>
    <w:rsid w:val="00253140"/>
    <w:rsid w:val="002537BD"/>
    <w:rsid w:val="00260AAB"/>
    <w:rsid w:val="00262383"/>
    <w:rsid w:val="00271980"/>
    <w:rsid w:val="00282991"/>
    <w:rsid w:val="00287680"/>
    <w:rsid w:val="002A0551"/>
    <w:rsid w:val="002C67FC"/>
    <w:rsid w:val="002D0646"/>
    <w:rsid w:val="002D6787"/>
    <w:rsid w:val="002E25EC"/>
    <w:rsid w:val="002F0E8E"/>
    <w:rsid w:val="00314495"/>
    <w:rsid w:val="00335AE3"/>
    <w:rsid w:val="0034540F"/>
    <w:rsid w:val="0035543F"/>
    <w:rsid w:val="00355A07"/>
    <w:rsid w:val="003612D9"/>
    <w:rsid w:val="00366906"/>
    <w:rsid w:val="00390037"/>
    <w:rsid w:val="003C5BF6"/>
    <w:rsid w:val="003E49C7"/>
    <w:rsid w:val="0042385A"/>
    <w:rsid w:val="00441615"/>
    <w:rsid w:val="0046089B"/>
    <w:rsid w:val="0046548F"/>
    <w:rsid w:val="004751DF"/>
    <w:rsid w:val="004873E8"/>
    <w:rsid w:val="004A19F5"/>
    <w:rsid w:val="004D26DD"/>
    <w:rsid w:val="0054393A"/>
    <w:rsid w:val="00584FAC"/>
    <w:rsid w:val="005B3FB3"/>
    <w:rsid w:val="005E0619"/>
    <w:rsid w:val="005F4C44"/>
    <w:rsid w:val="006015DE"/>
    <w:rsid w:val="006105AC"/>
    <w:rsid w:val="006133D0"/>
    <w:rsid w:val="00630691"/>
    <w:rsid w:val="006337AA"/>
    <w:rsid w:val="00687A62"/>
    <w:rsid w:val="00694387"/>
    <w:rsid w:val="00694DB0"/>
    <w:rsid w:val="006A02B3"/>
    <w:rsid w:val="006B1003"/>
    <w:rsid w:val="006B10E7"/>
    <w:rsid w:val="00731C2D"/>
    <w:rsid w:val="0073387C"/>
    <w:rsid w:val="007458B8"/>
    <w:rsid w:val="0075676A"/>
    <w:rsid w:val="00774BC4"/>
    <w:rsid w:val="00777F82"/>
    <w:rsid w:val="00786AEB"/>
    <w:rsid w:val="007949D9"/>
    <w:rsid w:val="007A53BF"/>
    <w:rsid w:val="008011B2"/>
    <w:rsid w:val="00804232"/>
    <w:rsid w:val="00850018"/>
    <w:rsid w:val="00851ACA"/>
    <w:rsid w:val="00875903"/>
    <w:rsid w:val="008931A6"/>
    <w:rsid w:val="0089371F"/>
    <w:rsid w:val="008C23C1"/>
    <w:rsid w:val="008C2799"/>
    <w:rsid w:val="00903CF8"/>
    <w:rsid w:val="00906A34"/>
    <w:rsid w:val="00917C4D"/>
    <w:rsid w:val="009206B8"/>
    <w:rsid w:val="00961948"/>
    <w:rsid w:val="009D77AB"/>
    <w:rsid w:val="009E622B"/>
    <w:rsid w:val="009F5ABF"/>
    <w:rsid w:val="00A06B8B"/>
    <w:rsid w:val="00A148DA"/>
    <w:rsid w:val="00A21394"/>
    <w:rsid w:val="00A67215"/>
    <w:rsid w:val="00A70B65"/>
    <w:rsid w:val="00A72699"/>
    <w:rsid w:val="00A7358A"/>
    <w:rsid w:val="00A77A9F"/>
    <w:rsid w:val="00A83FEB"/>
    <w:rsid w:val="00A847E6"/>
    <w:rsid w:val="00AC15B2"/>
    <w:rsid w:val="00AD2C06"/>
    <w:rsid w:val="00AE67A3"/>
    <w:rsid w:val="00AF1250"/>
    <w:rsid w:val="00B00CDD"/>
    <w:rsid w:val="00B109A9"/>
    <w:rsid w:val="00B23343"/>
    <w:rsid w:val="00B44FE9"/>
    <w:rsid w:val="00B80D91"/>
    <w:rsid w:val="00BA4E5F"/>
    <w:rsid w:val="00BB70F1"/>
    <w:rsid w:val="00BC0DF9"/>
    <w:rsid w:val="00BD302F"/>
    <w:rsid w:val="00BF1B5D"/>
    <w:rsid w:val="00BF576D"/>
    <w:rsid w:val="00BF654C"/>
    <w:rsid w:val="00C029D7"/>
    <w:rsid w:val="00C0446A"/>
    <w:rsid w:val="00C148E1"/>
    <w:rsid w:val="00C25BB3"/>
    <w:rsid w:val="00C364E7"/>
    <w:rsid w:val="00C45DD2"/>
    <w:rsid w:val="00C55380"/>
    <w:rsid w:val="00C70403"/>
    <w:rsid w:val="00C7368A"/>
    <w:rsid w:val="00C914FB"/>
    <w:rsid w:val="00CA238E"/>
    <w:rsid w:val="00D23314"/>
    <w:rsid w:val="00D7237B"/>
    <w:rsid w:val="00D94CB2"/>
    <w:rsid w:val="00D95DD7"/>
    <w:rsid w:val="00DA40D0"/>
    <w:rsid w:val="00DE20A9"/>
    <w:rsid w:val="00E10B0F"/>
    <w:rsid w:val="00E17462"/>
    <w:rsid w:val="00E30487"/>
    <w:rsid w:val="00E31062"/>
    <w:rsid w:val="00E41E8C"/>
    <w:rsid w:val="00E45CDB"/>
    <w:rsid w:val="00E45D67"/>
    <w:rsid w:val="00E53678"/>
    <w:rsid w:val="00E6479E"/>
    <w:rsid w:val="00E85012"/>
    <w:rsid w:val="00EA6EDB"/>
    <w:rsid w:val="00EB4B08"/>
    <w:rsid w:val="00EC640B"/>
    <w:rsid w:val="00ED1263"/>
    <w:rsid w:val="00ED790E"/>
    <w:rsid w:val="00EE1C44"/>
    <w:rsid w:val="00EE34DC"/>
    <w:rsid w:val="00EE521A"/>
    <w:rsid w:val="00EE63FF"/>
    <w:rsid w:val="00EE7F42"/>
    <w:rsid w:val="00F14BAF"/>
    <w:rsid w:val="00F23024"/>
    <w:rsid w:val="00F60E1F"/>
    <w:rsid w:val="00F619BA"/>
    <w:rsid w:val="00F634DE"/>
    <w:rsid w:val="00F84171"/>
    <w:rsid w:val="00F84362"/>
    <w:rsid w:val="00F87FBB"/>
    <w:rsid w:val="00F944B8"/>
    <w:rsid w:val="00FA6BB1"/>
    <w:rsid w:val="00FB7EF8"/>
    <w:rsid w:val="00FC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E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D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DD7"/>
    <w:rPr>
      <w:sz w:val="20"/>
      <w:szCs w:val="20"/>
    </w:rPr>
  </w:style>
  <w:style w:type="paragraph" w:styleId="Zpat">
    <w:name w:val="footer"/>
    <w:basedOn w:val="Normln"/>
    <w:link w:val="ZpatChar"/>
    <w:rsid w:val="00D95D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D95D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95DD7"/>
    <w:rPr>
      <w:rFonts w:ascii="Times New Roman" w:hAnsi="Times New Roman" w:cs="Times New Roman"/>
      <w:vertAlign w:val="superscript"/>
    </w:rPr>
  </w:style>
  <w:style w:type="table" w:styleId="Stednstnovn2zvraznn1">
    <w:name w:val="Medium Shading 2 Accent 1"/>
    <w:basedOn w:val="Normlntabulka"/>
    <w:uiPriority w:val="64"/>
    <w:rsid w:val="00D95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D95D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mezer">
    <w:name w:val="No Spacing"/>
    <w:uiPriority w:val="1"/>
    <w:qFormat/>
    <w:rsid w:val="00EE63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E1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B4E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4E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4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2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25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25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2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25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5D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5DD7"/>
    <w:rPr>
      <w:sz w:val="20"/>
      <w:szCs w:val="20"/>
    </w:rPr>
  </w:style>
  <w:style w:type="paragraph" w:styleId="Zpat">
    <w:name w:val="footer"/>
    <w:basedOn w:val="Normln"/>
    <w:link w:val="ZpatChar"/>
    <w:rsid w:val="00D95D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D95DD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95DD7"/>
    <w:rPr>
      <w:rFonts w:ascii="Times New Roman" w:hAnsi="Times New Roman" w:cs="Times New Roman"/>
      <w:vertAlign w:val="superscript"/>
    </w:rPr>
  </w:style>
  <w:style w:type="table" w:styleId="Stednstnovn2zvraznn1">
    <w:name w:val="Medium Shading 2 Accent 1"/>
    <w:basedOn w:val="Normlntabulka"/>
    <w:uiPriority w:val="64"/>
    <w:rsid w:val="00D95D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D95DD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zmezer">
    <w:name w:val="No Spacing"/>
    <w:uiPriority w:val="1"/>
    <w:qFormat/>
    <w:rsid w:val="00EE63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E1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B4E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4E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543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25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25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25E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25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25E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6A2038F35EC45AF21B619B480C230" ma:contentTypeVersion="0" ma:contentTypeDescription="Vytvoří nový dokument" ma:contentTypeScope="" ma:versionID="08fb1d8ccddc06584c97522c3699cb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FAE9-FB39-436C-A595-17E8AC6E8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527F9-3F56-4157-8F3F-22A03ABF2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288E2-3909-415B-B3CA-FCB338E27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EFD8AA-64CF-429E-8C30-CFC71725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Andrea (MPSV)</dc:creator>
  <cp:lastModifiedBy>Lafková Petra, Ing.</cp:lastModifiedBy>
  <cp:revision>2</cp:revision>
  <cp:lastPrinted>2015-06-02T11:00:00Z</cp:lastPrinted>
  <dcterms:created xsi:type="dcterms:W3CDTF">2015-06-20T15:05:00Z</dcterms:created>
  <dcterms:modified xsi:type="dcterms:W3CDTF">2015-06-20T15:05:00Z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0x010100E946A2038F35EC45AF21B619B480C230</vt:lpwstr>
  </property>
</Properties>
</file>