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3C" w:rsidRDefault="00453E7E" w:rsidP="00F20BD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Zlatý </w:t>
      </w:r>
      <w:r w:rsidR="003501B3">
        <w:rPr>
          <w:b/>
          <w:sz w:val="28"/>
          <w:szCs w:val="28"/>
        </w:rPr>
        <w:t>erb</w:t>
      </w:r>
      <w:r w:rsidR="00D500D7" w:rsidRPr="00D500D7">
        <w:rPr>
          <w:b/>
          <w:sz w:val="28"/>
          <w:szCs w:val="28"/>
        </w:rPr>
        <w:t xml:space="preserve"> </w:t>
      </w:r>
      <w:r w:rsidR="00DA0908" w:rsidRPr="00D500D7">
        <w:rPr>
          <w:b/>
          <w:sz w:val="28"/>
          <w:szCs w:val="28"/>
        </w:rPr>
        <w:t>2</w:t>
      </w:r>
      <w:r w:rsidR="00DA0908">
        <w:rPr>
          <w:b/>
          <w:sz w:val="28"/>
          <w:szCs w:val="28"/>
        </w:rPr>
        <w:t>022 – ročník služeb</w:t>
      </w:r>
    </w:p>
    <w:p w:rsidR="007F5384" w:rsidRDefault="005D613C" w:rsidP="00F20BD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Povinné informace</w:t>
      </w:r>
      <w:r w:rsidR="00DA0908">
        <w:rPr>
          <w:b/>
          <w:sz w:val="28"/>
          <w:szCs w:val="28"/>
        </w:rPr>
        <w:t xml:space="preserve"> </w:t>
      </w:r>
    </w:p>
    <w:p w:rsidR="003E1177" w:rsidRDefault="003E1177" w:rsidP="00F20BDE">
      <w:pPr>
        <w:spacing w:after="120"/>
        <w:rPr>
          <w:b/>
          <w:sz w:val="24"/>
          <w:szCs w:val="24"/>
        </w:rPr>
      </w:pPr>
      <w:r w:rsidRPr="003E1177">
        <w:rPr>
          <w:b/>
          <w:sz w:val="24"/>
          <w:szCs w:val="24"/>
        </w:rPr>
        <w:t>Povinné informace v </w:t>
      </w:r>
      <w:r w:rsidR="005D613C">
        <w:rPr>
          <w:b/>
          <w:sz w:val="24"/>
          <w:szCs w:val="24"/>
        </w:rPr>
        <w:t>„</w:t>
      </w:r>
      <w:proofErr w:type="gramStart"/>
      <w:r w:rsidRPr="004B1C51">
        <w:rPr>
          <w:b/>
          <w:i/>
          <w:sz w:val="24"/>
          <w:szCs w:val="24"/>
        </w:rPr>
        <w:t>ZE</w:t>
      </w:r>
      <w:proofErr w:type="gramEnd"/>
      <w:r w:rsidRPr="004B1C51">
        <w:rPr>
          <w:b/>
          <w:i/>
          <w:sz w:val="24"/>
          <w:szCs w:val="24"/>
        </w:rPr>
        <w:t xml:space="preserve"> 20</w:t>
      </w:r>
      <w:r w:rsidR="00453E7E" w:rsidRPr="004B1C51">
        <w:rPr>
          <w:b/>
          <w:i/>
          <w:sz w:val="24"/>
          <w:szCs w:val="24"/>
        </w:rPr>
        <w:t>2</w:t>
      </w:r>
      <w:r w:rsidR="00DA0908" w:rsidRPr="004B1C51">
        <w:rPr>
          <w:b/>
          <w:i/>
          <w:sz w:val="24"/>
          <w:szCs w:val="24"/>
        </w:rPr>
        <w:t>2 – ročníku služeb</w:t>
      </w:r>
      <w:r w:rsidR="005D613C">
        <w:rPr>
          <w:b/>
          <w:i/>
          <w:sz w:val="24"/>
          <w:szCs w:val="24"/>
        </w:rPr>
        <w:t>“</w:t>
      </w:r>
      <w:r w:rsidR="005A34A8">
        <w:rPr>
          <w:b/>
          <w:sz w:val="24"/>
          <w:szCs w:val="24"/>
        </w:rPr>
        <w:t>,</w:t>
      </w:r>
      <w:r w:rsidRPr="003E1177">
        <w:rPr>
          <w:b/>
          <w:sz w:val="24"/>
          <w:szCs w:val="24"/>
        </w:rPr>
        <w:t xml:space="preserve"> </w:t>
      </w:r>
      <w:r w:rsidR="005D613C">
        <w:rPr>
          <w:b/>
          <w:sz w:val="24"/>
          <w:szCs w:val="24"/>
        </w:rPr>
        <w:t>ne</w:t>
      </w:r>
      <w:r w:rsidR="005D613C" w:rsidRPr="003E1177">
        <w:rPr>
          <w:b/>
          <w:sz w:val="24"/>
          <w:szCs w:val="24"/>
        </w:rPr>
        <w:t xml:space="preserve">jsou </w:t>
      </w:r>
      <w:r w:rsidRPr="003E1177">
        <w:rPr>
          <w:b/>
          <w:sz w:val="24"/>
          <w:szCs w:val="24"/>
        </w:rPr>
        <w:t xml:space="preserve">hodnoceny </w:t>
      </w:r>
      <w:r w:rsidR="005D613C">
        <w:rPr>
          <w:b/>
          <w:sz w:val="24"/>
          <w:szCs w:val="24"/>
        </w:rPr>
        <w:t>v krajských kolech!!!</w:t>
      </w:r>
    </w:p>
    <w:p w:rsidR="005D613C" w:rsidRDefault="005D613C" w:rsidP="00F20BDE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Vítěz krajského kola ale bude testován celostátní porotou (před potvrzením postupu do celostátního kola) na následujících deset základních povinných informací. Pokud v tomto hodnocení nedosáhne alespoň na 3,5 bodu (včetně 3,5), do celostátního kola nepostoupí.</w:t>
      </w:r>
    </w:p>
    <w:p w:rsidR="005D613C" w:rsidRDefault="005D613C" w:rsidP="00F20BDE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 zde použito tzv. diskvalifikační kritérium dle odstavce 3.5 </w:t>
      </w:r>
      <w:r w:rsidR="00411368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ropozic, které říká:</w:t>
      </w:r>
    </w:p>
    <w:p w:rsidR="005D613C" w:rsidRPr="005D613C" w:rsidRDefault="005D613C" w:rsidP="00F20BDE">
      <w:pPr>
        <w:spacing w:after="120"/>
        <w:rPr>
          <w:sz w:val="20"/>
          <w:szCs w:val="20"/>
        </w:rPr>
      </w:pPr>
      <w:r w:rsidRPr="005D613C">
        <w:rPr>
          <w:sz w:val="20"/>
          <w:szCs w:val="20"/>
        </w:rPr>
        <w:t>„</w:t>
      </w:r>
      <w:r w:rsidRPr="005D613C">
        <w:rPr>
          <w:sz w:val="20"/>
          <w:szCs w:val="20"/>
        </w:rPr>
        <w:t xml:space="preserve">3.5 Pokud v krajském kole zvítězí web, který nesplňuje tzv. diskvalifikační kritéria (minimum povinných informací, bude ověřeno až u vítěze krajského kola) a plná </w:t>
      </w:r>
      <w:proofErr w:type="spellStart"/>
      <w:r w:rsidRPr="005D613C">
        <w:rPr>
          <w:sz w:val="20"/>
          <w:szCs w:val="20"/>
        </w:rPr>
        <w:t>responzivnost</w:t>
      </w:r>
      <w:proofErr w:type="spellEnd"/>
      <w:r w:rsidRPr="005D613C">
        <w:rPr>
          <w:sz w:val="20"/>
          <w:szCs w:val="20"/>
        </w:rPr>
        <w:t xml:space="preserve"> webu dle odstavce 3.2.4, postupuje do celostátního kola až první web, který obě tato kritéria v konkrétním kraji splňuje.</w:t>
      </w:r>
      <w:r w:rsidRPr="005D613C">
        <w:rPr>
          <w:sz w:val="20"/>
          <w:szCs w:val="20"/>
        </w:rPr>
        <w:t>“.</w:t>
      </w:r>
    </w:p>
    <w:p w:rsidR="00D500D7" w:rsidRPr="005D613C" w:rsidRDefault="005D613C" w:rsidP="005D613C">
      <w:pPr>
        <w:spacing w:after="120"/>
        <w:jc w:val="center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cs-CZ"/>
        </w:rPr>
        <w:t>Deset základních p</w:t>
      </w:r>
      <w:r w:rsidR="00D500D7" w:rsidRPr="005D613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ovinn</w:t>
      </w:r>
      <w:r>
        <w:rPr>
          <w:rFonts w:ascii="Arial" w:eastAsia="Times New Roman" w:hAnsi="Arial" w:cs="Arial"/>
          <w:b/>
          <w:bCs/>
          <w:sz w:val="26"/>
          <w:szCs w:val="26"/>
          <w:lang w:eastAsia="cs-CZ"/>
        </w:rPr>
        <w:t>ých</w:t>
      </w:r>
      <w:r w:rsidR="00D500D7" w:rsidRPr="005D613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 xml:space="preserve"> informac</w:t>
      </w:r>
      <w:r>
        <w:rPr>
          <w:rFonts w:ascii="Arial" w:eastAsia="Times New Roman" w:hAnsi="Arial" w:cs="Arial"/>
          <w:b/>
          <w:bCs/>
          <w:sz w:val="26"/>
          <w:szCs w:val="26"/>
          <w:lang w:eastAsia="cs-CZ"/>
        </w:rPr>
        <w:t>í</w:t>
      </w:r>
      <w:r w:rsidR="004D4873" w:rsidRPr="005D613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eastAsia="cs-CZ"/>
        </w:rPr>
        <w:t>pro použití diskvalifikačního kritéria dle odstavce 3.5 P</w:t>
      </w:r>
      <w:r w:rsidR="004D4873" w:rsidRPr="005D613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ropozic soutěže</w:t>
      </w:r>
      <w:r w:rsidR="00DE7635" w:rsidRPr="005D613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 xml:space="preserve"> </w:t>
      </w:r>
      <w:proofErr w:type="gramStart"/>
      <w:r w:rsidR="00DE7635" w:rsidRPr="005D613C">
        <w:rPr>
          <w:rFonts w:ascii="Arial" w:eastAsia="Times New Roman" w:hAnsi="Arial" w:cs="Arial"/>
          <w:b/>
          <w:bCs/>
          <w:i/>
          <w:sz w:val="26"/>
          <w:szCs w:val="26"/>
          <w:lang w:eastAsia="cs-CZ"/>
        </w:rPr>
        <w:t>ZE</w:t>
      </w:r>
      <w:proofErr w:type="gramEnd"/>
      <w:r w:rsidR="000D66F1" w:rsidRPr="005D613C">
        <w:rPr>
          <w:rFonts w:ascii="Arial" w:eastAsia="Times New Roman" w:hAnsi="Arial" w:cs="Arial"/>
          <w:b/>
          <w:bCs/>
          <w:i/>
          <w:sz w:val="26"/>
          <w:szCs w:val="26"/>
          <w:lang w:eastAsia="cs-CZ"/>
        </w:rPr>
        <w:t xml:space="preserve"> </w:t>
      </w:r>
      <w:r w:rsidR="00BA0FC7" w:rsidRPr="005D613C">
        <w:rPr>
          <w:rFonts w:ascii="Arial" w:eastAsia="Times New Roman" w:hAnsi="Arial" w:cs="Arial"/>
          <w:b/>
          <w:bCs/>
          <w:i/>
          <w:sz w:val="26"/>
          <w:szCs w:val="26"/>
          <w:lang w:eastAsia="cs-CZ"/>
        </w:rPr>
        <w:t>202</w:t>
      </w:r>
      <w:r w:rsidR="00DA0908" w:rsidRPr="005D613C">
        <w:rPr>
          <w:rFonts w:ascii="Arial" w:eastAsia="Times New Roman" w:hAnsi="Arial" w:cs="Arial"/>
          <w:b/>
          <w:bCs/>
          <w:i/>
          <w:sz w:val="26"/>
          <w:szCs w:val="26"/>
          <w:lang w:eastAsia="cs-CZ"/>
        </w:rPr>
        <w:t>2 – ročník služeb</w:t>
      </w:r>
    </w:p>
    <w:p w:rsidR="00F20BDE" w:rsidRPr="00315B97" w:rsidRDefault="00315B97" w:rsidP="00777876">
      <w:pPr>
        <w:spacing w:before="120" w:after="120"/>
        <w:jc w:val="center"/>
        <w:rPr>
          <w:b/>
          <w:sz w:val="20"/>
          <w:szCs w:val="20"/>
        </w:rPr>
      </w:pPr>
      <w:r w:rsidRPr="00315B97">
        <w:rPr>
          <w:b/>
          <w:sz w:val="20"/>
          <w:szCs w:val="20"/>
        </w:rPr>
        <w:t>V</w:t>
      </w:r>
      <w:r w:rsidR="00BB4749" w:rsidRPr="00315B97">
        <w:rPr>
          <w:b/>
          <w:sz w:val="20"/>
          <w:szCs w:val="20"/>
        </w:rPr>
        <w:t xml:space="preserve">šechny </w:t>
      </w:r>
      <w:r w:rsidR="00F20BDE" w:rsidRPr="00315B97">
        <w:rPr>
          <w:b/>
          <w:sz w:val="20"/>
          <w:szCs w:val="20"/>
        </w:rPr>
        <w:t xml:space="preserve">uvedené informace nemusejí být na webu povinného subjektu přesně ve struktuře dle </w:t>
      </w:r>
      <w:r w:rsidR="00E06F9D" w:rsidRPr="00315B97">
        <w:rPr>
          <w:b/>
          <w:sz w:val="20"/>
          <w:szCs w:val="20"/>
        </w:rPr>
        <w:t>následující</w:t>
      </w:r>
      <w:r w:rsidR="00F20BDE" w:rsidRPr="00315B97">
        <w:rPr>
          <w:b/>
          <w:sz w:val="20"/>
          <w:szCs w:val="20"/>
        </w:rPr>
        <w:t xml:space="preserve"> tabulky, plně postačuje, pokud </w:t>
      </w:r>
      <w:r w:rsidR="00E06F9D" w:rsidRPr="00315B97">
        <w:rPr>
          <w:b/>
          <w:sz w:val="20"/>
          <w:szCs w:val="20"/>
        </w:rPr>
        <w:t xml:space="preserve">informace z tabulky </w:t>
      </w:r>
      <w:r w:rsidR="00F20BDE" w:rsidRPr="00315B97">
        <w:rPr>
          <w:b/>
          <w:sz w:val="20"/>
          <w:szCs w:val="20"/>
        </w:rPr>
        <w:t>někde na webu</w:t>
      </w:r>
      <w:r w:rsidR="00CD1AC1" w:rsidRPr="00315B97">
        <w:rPr>
          <w:b/>
          <w:sz w:val="20"/>
          <w:szCs w:val="20"/>
        </w:rPr>
        <w:t xml:space="preserve"> povinného subjektu</w:t>
      </w:r>
      <w:r w:rsidR="00F20BDE" w:rsidRPr="00315B97">
        <w:rPr>
          <w:b/>
          <w:sz w:val="20"/>
          <w:szCs w:val="20"/>
        </w:rPr>
        <w:t xml:space="preserve"> jsou</w:t>
      </w:r>
      <w:r>
        <w:rPr>
          <w:b/>
          <w:sz w:val="20"/>
          <w:szCs w:val="20"/>
        </w:rPr>
        <w:t>.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4"/>
        <w:gridCol w:w="1359"/>
        <w:gridCol w:w="2338"/>
        <w:gridCol w:w="4979"/>
      </w:tblGrid>
      <w:tr w:rsidR="00315B97" w:rsidRPr="00635C41" w:rsidTr="00411368">
        <w:trPr>
          <w:trHeight w:val="707"/>
        </w:trPr>
        <w:tc>
          <w:tcPr>
            <w:tcW w:w="675" w:type="dxa"/>
            <w:shd w:val="clear" w:color="auto" w:fill="auto"/>
            <w:hideMark/>
          </w:tcPr>
          <w:p w:rsidR="00315B97" w:rsidRPr="000F55A8" w:rsidRDefault="00315B97" w:rsidP="00315B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5C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ZE</w:t>
            </w:r>
            <w:proofErr w:type="gramEnd"/>
            <w:r w:rsidRPr="00385C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22</w:t>
            </w:r>
            <w:r w:rsidRPr="00385C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číslo</w:t>
            </w:r>
          </w:p>
        </w:tc>
        <w:tc>
          <w:tcPr>
            <w:tcW w:w="714" w:type="dxa"/>
            <w:shd w:val="clear" w:color="auto" w:fill="auto"/>
            <w:hideMark/>
          </w:tcPr>
          <w:p w:rsidR="00315B97" w:rsidRPr="000F55A8" w:rsidRDefault="00315B97" w:rsidP="00315B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0F55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ub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Pr="000F55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1359" w:type="dxa"/>
            <w:shd w:val="clear" w:color="auto" w:fill="auto"/>
            <w:hideMark/>
          </w:tcPr>
          <w:p w:rsidR="00315B97" w:rsidRPr="004362B2" w:rsidRDefault="00315B97" w:rsidP="00315B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62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Označení </w:t>
            </w:r>
            <w:r w:rsidRPr="004362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2338" w:type="dxa"/>
            <w:shd w:val="clear" w:color="auto" w:fill="auto"/>
            <w:hideMark/>
          </w:tcPr>
          <w:p w:rsidR="00315B97" w:rsidRPr="000F55A8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55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Závazný obsah položky</w:t>
            </w:r>
          </w:p>
        </w:tc>
        <w:tc>
          <w:tcPr>
            <w:tcW w:w="4979" w:type="dxa"/>
            <w:shd w:val="clear" w:color="auto" w:fill="auto"/>
            <w:hideMark/>
          </w:tcPr>
          <w:p w:rsidR="00315B97" w:rsidRPr="000F55A8" w:rsidRDefault="00315B97" w:rsidP="002339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55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Podmínky započtení položky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+ hodnota položky </w:t>
            </w:r>
          </w:p>
        </w:tc>
      </w:tr>
      <w:tr w:rsidR="00315B97" w:rsidRPr="00635C41" w:rsidTr="00315B97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635C4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4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48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Příloha č. 1 k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vyhlášce č. </w:t>
            </w:r>
            <w:r w:rsidRPr="000A36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515/2020 </w:t>
            </w:r>
          </w:p>
        </w:tc>
        <w:tc>
          <w:tcPr>
            <w:tcW w:w="2338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Existence str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uktury zveřejňovaných informací.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79" w:type="dxa"/>
            <w:shd w:val="clear" w:color="auto" w:fill="auto"/>
            <w:hideMark/>
          </w:tcPr>
          <w:p w:rsidR="00315B97" w:rsidRPr="004362B2" w:rsidRDefault="00315B97" w:rsidP="00E946A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„Existence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struktury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“ se </w:t>
            </w:r>
            <w:r w:rsidRPr="000F55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uzná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0,5 bodu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pokud je ve struktuře uvedeno ale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spoň 10 bodů dle osnovy z přílohy č. 1 k vyhlášce 515/2020 </w:t>
            </w:r>
            <w:r w:rsidR="00481DD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Sb.</w:t>
            </w:r>
          </w:p>
        </w:tc>
      </w:tr>
      <w:tr w:rsidR="00315B97" w:rsidRPr="00635C41" w:rsidTr="00315B97">
        <w:trPr>
          <w:trHeight w:val="765"/>
        </w:trPr>
        <w:tc>
          <w:tcPr>
            <w:tcW w:w="675" w:type="dxa"/>
            <w:shd w:val="clear" w:color="auto" w:fill="auto"/>
          </w:tcPr>
          <w:p w:rsidR="00315B97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315B97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315B97" w:rsidRPr="004D4873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Důvod a způsob založení - část</w:t>
            </w:r>
          </w:p>
        </w:tc>
        <w:tc>
          <w:tcPr>
            <w:tcW w:w="2338" w:type="dxa"/>
            <w:shd w:val="clear" w:color="auto" w:fill="auto"/>
          </w:tcPr>
          <w:p w:rsidR="00315B97" w:rsidRPr="00635C41" w:rsidRDefault="00315B97" w:rsidP="00154EC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Uvede se </w:t>
            </w:r>
            <w:r w:rsidRPr="00154E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nadřízený orgán povinného subjektu, případně další nadřízené orgány povinného subjektu, pokud se liší přímé vedení od metodického.</w:t>
            </w:r>
          </w:p>
        </w:tc>
        <w:tc>
          <w:tcPr>
            <w:tcW w:w="4979" w:type="dxa"/>
            <w:shd w:val="clear" w:color="auto" w:fill="auto"/>
          </w:tcPr>
          <w:p w:rsidR="00315B97" w:rsidRDefault="00315B97" w:rsidP="00154EC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4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Uzná se 0,25 bodu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pokud je uvedeno, že nadřízeným orgánem je v případě obcí krajský úřad, v případě městských částí magistrát</w:t>
            </w:r>
            <w:r w:rsidR="00481DD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481DD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hl. m. Prahy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:rsidR="00315B97" w:rsidRDefault="00315B97" w:rsidP="00154EC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15B97" w:rsidRPr="00BA0FC7" w:rsidRDefault="00315B97" w:rsidP="00F3316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4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Uzná se 0,25 bodu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pokud je uvedeno, že dozor vykonává v případě obcí ministerstvo vnitra, v případě pražských městských částí magistrát hl. m. Prahy.</w:t>
            </w:r>
          </w:p>
        </w:tc>
      </w:tr>
      <w:tr w:rsidR="00315B97" w:rsidRPr="00635C41" w:rsidTr="00411368">
        <w:trPr>
          <w:trHeight w:val="1058"/>
        </w:trPr>
        <w:tc>
          <w:tcPr>
            <w:tcW w:w="675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4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3. 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Organizační struktura</w:t>
            </w:r>
          </w:p>
        </w:tc>
        <w:tc>
          <w:tcPr>
            <w:tcW w:w="2338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Popis vnitřní organizační struktury povinného subjektu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979" w:type="dxa"/>
            <w:shd w:val="clear" w:color="auto" w:fill="auto"/>
            <w:hideMark/>
          </w:tcPr>
          <w:p w:rsidR="00315B97" w:rsidRPr="00635C41" w:rsidRDefault="00315B97" w:rsidP="00315B97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Uzná se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E94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bod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za 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jakékoli vyjádření struktury, ať grafické, formou telefonního seznamu 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členěním na funkce či útvary, nebo slovním popisem.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41136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Za strukturu povinného subjektu se ale nepovažuje uvedení členění na orgány obce (zastupitelstvo, radu, úřad, …).</w:t>
            </w:r>
          </w:p>
        </w:tc>
      </w:tr>
      <w:tr w:rsidR="00315B97" w:rsidRPr="00635C41" w:rsidTr="00411368">
        <w:trPr>
          <w:trHeight w:val="423"/>
        </w:trPr>
        <w:tc>
          <w:tcPr>
            <w:tcW w:w="675" w:type="dxa"/>
            <w:vMerge w:val="restart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4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.1.</w:t>
            </w:r>
          </w:p>
        </w:tc>
        <w:tc>
          <w:tcPr>
            <w:tcW w:w="1359" w:type="dxa"/>
            <w:shd w:val="clear" w:color="auto" w:fill="auto"/>
            <w:hideMark/>
          </w:tcPr>
          <w:p w:rsidR="00315B97" w:rsidRPr="004362B2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2B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4.1 Kontaktní poštovní adresa</w:t>
            </w:r>
          </w:p>
        </w:tc>
        <w:tc>
          <w:tcPr>
            <w:tcW w:w="2338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dresa k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doručování poštovních zásilek.</w:t>
            </w:r>
          </w:p>
        </w:tc>
        <w:tc>
          <w:tcPr>
            <w:tcW w:w="4979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Uzná se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94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0,25 bodu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pokud je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adresa 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uveden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a.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15B97" w:rsidRPr="00635C41" w:rsidTr="00315B97">
        <w:trPr>
          <w:trHeight w:val="517"/>
        </w:trPr>
        <w:tc>
          <w:tcPr>
            <w:tcW w:w="675" w:type="dxa"/>
            <w:vMerge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3.2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59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4.3 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Úřední hodiny</w:t>
            </w:r>
          </w:p>
        </w:tc>
        <w:tc>
          <w:tcPr>
            <w:tcW w:w="2338" w:type="dxa"/>
            <w:shd w:val="clear" w:color="auto" w:fill="auto"/>
            <w:hideMark/>
          </w:tcPr>
          <w:p w:rsidR="00315B97" w:rsidRPr="00635C41" w:rsidRDefault="00315B97" w:rsidP="00315B97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Úřední hodiny všech úřadoven (pracovišť) </w:t>
            </w:r>
          </w:p>
        </w:tc>
        <w:tc>
          <w:tcPr>
            <w:tcW w:w="4979" w:type="dxa"/>
            <w:shd w:val="clear" w:color="auto" w:fill="auto"/>
            <w:hideMark/>
          </w:tcPr>
          <w:p w:rsidR="00315B97" w:rsidRPr="00635C41" w:rsidRDefault="00315B97" w:rsidP="00315B97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Uzná se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94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0,25 bodu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pokud</w:t>
            </w:r>
            <w:r w:rsidR="00411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je uveden alespoň jeden údaj o 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úředních hodinách</w:t>
            </w:r>
          </w:p>
        </w:tc>
      </w:tr>
      <w:tr w:rsidR="00315B97" w:rsidRPr="00635C41" w:rsidTr="00315B97">
        <w:trPr>
          <w:trHeight w:val="540"/>
        </w:trPr>
        <w:tc>
          <w:tcPr>
            <w:tcW w:w="675" w:type="dxa"/>
            <w:vMerge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59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4.4 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Telefonní čísla</w:t>
            </w:r>
          </w:p>
        </w:tc>
        <w:tc>
          <w:tcPr>
            <w:tcW w:w="2338" w:type="dxa"/>
            <w:shd w:val="clear" w:color="auto" w:fill="auto"/>
            <w:hideMark/>
          </w:tcPr>
          <w:p w:rsidR="00315B97" w:rsidRPr="00635C41" w:rsidRDefault="00315B97" w:rsidP="000A3658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Telefonní čísla povinného subjektu, jeho vnitřních útvarů 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pracovišť.</w:t>
            </w:r>
          </w:p>
        </w:tc>
        <w:tc>
          <w:tcPr>
            <w:tcW w:w="4979" w:type="dxa"/>
            <w:shd w:val="clear" w:color="auto" w:fill="auto"/>
            <w:hideMark/>
          </w:tcPr>
          <w:p w:rsidR="00315B97" w:rsidRDefault="00315B97" w:rsidP="004A3E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Uzná se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94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0,25 bodu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pokud jsou telefonní čísla uvedena alespoň do úrovně vnitřních útvarů.</w:t>
            </w:r>
          </w:p>
          <w:p w:rsidR="00315B97" w:rsidRPr="004362B2" w:rsidRDefault="00315B97" w:rsidP="0041136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635C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euzná se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 pokud je uvedeno jen spojení na ústřednu a</w:t>
            </w:r>
            <w:r w:rsidR="00411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povinný subjekt má více oddělení, odborů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útvarů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apod. </w:t>
            </w:r>
          </w:p>
        </w:tc>
      </w:tr>
      <w:tr w:rsidR="00315B97" w:rsidRPr="00635C41" w:rsidTr="00315B97">
        <w:trPr>
          <w:trHeight w:val="630"/>
        </w:trPr>
        <w:tc>
          <w:tcPr>
            <w:tcW w:w="675" w:type="dxa"/>
            <w:vMerge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3.4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59" w:type="dxa"/>
            <w:shd w:val="clear" w:color="auto" w:fill="auto"/>
            <w:hideMark/>
          </w:tcPr>
          <w:p w:rsidR="00315B97" w:rsidRPr="00635C41" w:rsidRDefault="00315B97" w:rsidP="00E01A48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4.7 </w:t>
            </w:r>
            <w:r w:rsidRPr="00E01A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Elektronická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E01A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adresa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E01A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podatelny   </w:t>
            </w:r>
          </w:p>
        </w:tc>
        <w:tc>
          <w:tcPr>
            <w:tcW w:w="2338" w:type="dxa"/>
            <w:shd w:val="clear" w:color="auto" w:fill="auto"/>
            <w:hideMark/>
          </w:tcPr>
          <w:p w:rsidR="00315B97" w:rsidRPr="00635C41" w:rsidRDefault="00315B97" w:rsidP="000A3658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0A36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lektronická adresa podatelny, kterou je adresa elektronické pošty (e-mailová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A36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adresa).                                                </w:t>
            </w:r>
          </w:p>
        </w:tc>
        <w:tc>
          <w:tcPr>
            <w:tcW w:w="4979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Uzná se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94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0,25 bodu</w:t>
            </w:r>
            <w:r w:rsidRPr="00635C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pokud je uvedena alespoň jedna elektronická adresa podatelny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15B97" w:rsidRPr="00635C41" w:rsidTr="00315B97">
        <w:trPr>
          <w:trHeight w:val="1320"/>
        </w:trPr>
        <w:tc>
          <w:tcPr>
            <w:tcW w:w="675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4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Rozpočet </w:t>
            </w:r>
          </w:p>
        </w:tc>
        <w:tc>
          <w:tcPr>
            <w:tcW w:w="2338" w:type="dxa"/>
            <w:shd w:val="clear" w:color="auto" w:fill="auto"/>
            <w:hideMark/>
          </w:tcPr>
          <w:p w:rsidR="00315B97" w:rsidRPr="00635C41" w:rsidRDefault="00315B97" w:rsidP="00315B97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Údaje o rozpočtu povinného subjektu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 aktuálním a uplynulém roce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E01A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 o jeho změnách. </w:t>
            </w:r>
          </w:p>
        </w:tc>
        <w:tc>
          <w:tcPr>
            <w:tcW w:w="4979" w:type="dxa"/>
            <w:shd w:val="clear" w:color="auto" w:fill="auto"/>
            <w:hideMark/>
          </w:tcPr>
          <w:p w:rsidR="00315B97" w:rsidRDefault="00315B97" w:rsidP="004A3E4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Uzná se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 bod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pokud jsou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zveřejněny alespoň rozpočty </w:t>
            </w:r>
            <w:r w:rsidRPr="000F51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0F51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DA21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21</w:t>
            </w:r>
            <w:r w:rsidRPr="00DA21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a 202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A21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C7F6C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splněny zároveň tři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základní 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podmínky</w:t>
            </w:r>
            <w:r w:rsidR="00481DD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pro publikaci rozpočtu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: 1) srozumitelnost,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2) podrobnost, 3)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strojově čitelný formát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315B97" w:rsidRPr="00411368" w:rsidRDefault="00315B97" w:rsidP="00DA0908">
            <w:pPr>
              <w:spacing w:after="0" w:line="240" w:lineRule="auto"/>
              <w:rPr>
                <w:sz w:val="12"/>
                <w:szCs w:val="12"/>
              </w:rPr>
            </w:pPr>
            <w:r w:rsidRPr="00411368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Uzná se i tehdy, pokud je za rok 2022 po </w:t>
            </w:r>
            <w:proofErr w:type="gramStart"/>
            <w:r w:rsidRPr="0041136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1.1. 2022</w:t>
            </w:r>
            <w:proofErr w:type="gramEnd"/>
            <w:r w:rsidRPr="00411368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zveřejněno pouze rozpočtové provizorium.</w:t>
            </w:r>
          </w:p>
        </w:tc>
      </w:tr>
      <w:tr w:rsidR="00315B97" w:rsidRPr="00635C41" w:rsidTr="00481DD5">
        <w:trPr>
          <w:trHeight w:val="1417"/>
        </w:trPr>
        <w:tc>
          <w:tcPr>
            <w:tcW w:w="675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714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Žádosti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 informace</w:t>
            </w:r>
          </w:p>
        </w:tc>
        <w:tc>
          <w:tcPr>
            <w:tcW w:w="2338" w:type="dxa"/>
            <w:shd w:val="clear" w:color="auto" w:fill="auto"/>
            <w:hideMark/>
          </w:tcPr>
          <w:p w:rsidR="00315B97" w:rsidRPr="00C828B1" w:rsidRDefault="00315B97" w:rsidP="00516A1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28B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Místo a způsob, jak získat příslušné informace.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(Pozn.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ZE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: Způsob - u</w:t>
            </w:r>
            <w:r w:rsidRPr="00C828B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vede se návod, jak požádat úřad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C828B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 poskytnutí informace, včetně popisu postupu.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979" w:type="dxa"/>
            <w:shd w:val="clear" w:color="auto" w:fill="auto"/>
            <w:noWrap/>
            <w:hideMark/>
          </w:tcPr>
          <w:p w:rsidR="00315B97" w:rsidRDefault="00315B97" w:rsidP="004A3E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Uzná se</w:t>
            </w:r>
            <w:r w:rsidRPr="00E94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bod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pokud je uvedeno místo a způsob podání žádosti.</w:t>
            </w:r>
          </w:p>
          <w:p w:rsidR="00315B97" w:rsidRDefault="00315B97" w:rsidP="004A3E4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Neuzná se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pokud se uvádí jen místo, kde lze podat (např. podatelna, e-podatelna), ale neuvede se způsob. </w:t>
            </w:r>
          </w:p>
          <w:p w:rsidR="00315B97" w:rsidRPr="00C828B1" w:rsidRDefault="00315B97" w:rsidP="00481DD5">
            <w:pPr>
              <w:spacing w:after="0" w:line="240" w:lineRule="auto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Uzná se i tehdy, pokud je splněno odkazem na Portál veřejné správy </w:t>
            </w:r>
            <w:r w:rsidR="00481DD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(ale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nikoli pouze odkazem na hlavní stránku Portálu veřejné správy).</w:t>
            </w:r>
          </w:p>
        </w:tc>
      </w:tr>
      <w:tr w:rsidR="00315B97" w:rsidRPr="00635C41" w:rsidTr="00315B97">
        <w:trPr>
          <w:trHeight w:val="2045"/>
        </w:trPr>
        <w:tc>
          <w:tcPr>
            <w:tcW w:w="675" w:type="dxa"/>
            <w:shd w:val="clear" w:color="auto" w:fill="auto"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714" w:type="dxa"/>
            <w:shd w:val="clear" w:color="auto" w:fill="auto"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</w:tcPr>
          <w:p w:rsidR="00315B97" w:rsidRPr="00635C41" w:rsidRDefault="00315B97" w:rsidP="00315B97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P</w:t>
            </w:r>
            <w:r w:rsidRPr="005B5E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opis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y</w:t>
            </w:r>
            <w:r w:rsidRPr="005B5E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úkonů orgánu veřejné moci</w:t>
            </w:r>
            <w:r w:rsidRPr="005B5EC2" w:rsidDel="005B5E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:rsidR="00315B97" w:rsidRPr="00635C41" w:rsidRDefault="00315B97" w:rsidP="005B5EC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Odkaz na </w:t>
            </w:r>
            <w:r w:rsidRPr="005B5E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Osnov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y</w:t>
            </w:r>
            <w:r w:rsidRPr="005B5E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popisu úkonů orgánu veřejné moci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 w:rsidRPr="005B5E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zveřejněn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é</w:t>
            </w:r>
            <w:r w:rsidRPr="005B5E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Ministerstvem vnitra na portálu veřejné správy</w:t>
            </w:r>
          </w:p>
        </w:tc>
        <w:tc>
          <w:tcPr>
            <w:tcW w:w="4979" w:type="dxa"/>
            <w:shd w:val="clear" w:color="auto" w:fill="auto"/>
          </w:tcPr>
          <w:p w:rsidR="00315B97" w:rsidRDefault="00315B97" w:rsidP="004A3E4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55B8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Základní zveřejnění: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Odlišně pro města a obce.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955B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Obec</w:t>
            </w:r>
            <w:r w:rsidRPr="00E94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Uzná </w:t>
            </w:r>
            <w:r w:rsidRPr="00315B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 w:rsidRPr="00315B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315B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bod</w:t>
            </w:r>
            <w:r w:rsidRPr="00315B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pokud obec zveřejňuje alespoň 5 popisů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odkazem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na Portál veřejné správy; odkaz jen na úvodní stránku Portálu VS se neuzná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:rsidR="00315B97" w:rsidRDefault="00315B97" w:rsidP="004A3E4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55B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Město: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E94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Uzná se 1 bod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pokud město zveřejňuje alespoň 10 popisů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odkazem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na Portál veřejné správy; odkaz jen na úvodní stránku Portálu VS se neuzná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:rsidR="00315B97" w:rsidRPr="00315B97" w:rsidRDefault="00315B97" w:rsidP="00315B9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D49B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Uznají se popsané životní situace, vztahující se k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Pr="00CD49B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životu v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Pr="00CD49B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obci / ve městě </w:t>
            </w:r>
          </w:p>
        </w:tc>
      </w:tr>
      <w:tr w:rsidR="00315B97" w:rsidRPr="00635C41" w:rsidTr="00315B97">
        <w:trPr>
          <w:trHeight w:val="1490"/>
        </w:trPr>
        <w:tc>
          <w:tcPr>
            <w:tcW w:w="675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4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hideMark/>
          </w:tcPr>
          <w:p w:rsidR="00315B97" w:rsidRPr="00635C41" w:rsidRDefault="00315B97" w:rsidP="00315B97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11.2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Vydané právní předpisy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Plné texty právních předpisů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vydan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ých v 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rámci věcné působnosti povinného subjektu (vyhlášky, nařízení,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…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). </w:t>
            </w:r>
          </w:p>
        </w:tc>
        <w:tc>
          <w:tcPr>
            <w:tcW w:w="4979" w:type="dxa"/>
            <w:shd w:val="clear" w:color="auto" w:fill="auto"/>
            <w:hideMark/>
          </w:tcPr>
          <w:p w:rsidR="00315B97" w:rsidRDefault="00315B97" w:rsidP="004A3E4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725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Uzná se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 bod,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pokud jsou všechny vydané platné právní předpisy zveřejněny.</w:t>
            </w:r>
            <w:r w:rsidRPr="000D66F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Podmínkou je též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funkčnost odkazu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A725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Uzná se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ale i tehdy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pokud je výslovně uvedeno, že obec žádný vlastní právní předpis (vyhlášku, nařízení atd.) nevydala.</w:t>
            </w:r>
          </w:p>
          <w:p w:rsidR="00315B97" w:rsidRPr="00CD49B2" w:rsidRDefault="00315B97" w:rsidP="00955B83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Podmínkou je též uveřejnění ve strojově čitelném formátu (§ 4b/1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).</w:t>
            </w:r>
          </w:p>
        </w:tc>
      </w:tr>
      <w:tr w:rsidR="00315B97" w:rsidRPr="00635C41" w:rsidTr="00315B97">
        <w:trPr>
          <w:trHeight w:val="990"/>
        </w:trPr>
        <w:tc>
          <w:tcPr>
            <w:tcW w:w="675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4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hideMark/>
          </w:tcPr>
          <w:p w:rsidR="00315B97" w:rsidRPr="00635C41" w:rsidRDefault="00315B97" w:rsidP="005B5EC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12.1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Ú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hrady za poskytování informací</w:t>
            </w:r>
          </w:p>
        </w:tc>
        <w:tc>
          <w:tcPr>
            <w:tcW w:w="2338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Sazebník úhrad za poskytování informací povinným subjektem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tím spojených služeb. </w:t>
            </w:r>
          </w:p>
        </w:tc>
        <w:tc>
          <w:tcPr>
            <w:tcW w:w="4979" w:type="dxa"/>
            <w:shd w:val="clear" w:color="auto" w:fill="auto"/>
            <w:hideMark/>
          </w:tcPr>
          <w:p w:rsidR="00315B97" w:rsidRPr="00CD49B2" w:rsidRDefault="00315B97" w:rsidP="00955B8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 w:rsidRPr="00635C41">
              <w:rPr>
                <w:rFonts w:ascii="Arial" w:hAnsi="Arial" w:cs="Arial"/>
                <w:b/>
                <w:sz w:val="18"/>
                <w:szCs w:val="18"/>
              </w:rPr>
              <w:t>zná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35C41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 bod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pokud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je sazebník zveřejněn a je v souladu se zákonem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1E52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Uzná se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ale i tehdy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pokud bude výslovně uvedeno, že úhrada nákladů se nepožaduje (že sazebník není vydaný).</w:t>
            </w:r>
          </w:p>
        </w:tc>
      </w:tr>
      <w:tr w:rsidR="00315B97" w:rsidRPr="00635C41" w:rsidTr="00315B97">
        <w:trPr>
          <w:trHeight w:val="1275"/>
        </w:trPr>
        <w:tc>
          <w:tcPr>
            <w:tcW w:w="675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4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hideMark/>
          </w:tcPr>
          <w:p w:rsidR="00315B97" w:rsidRPr="00635C41" w:rsidRDefault="00315B97" w:rsidP="005B5EC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Výroční zpráva podle zákona č. 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106/1999 Sb.</w:t>
            </w:r>
          </w:p>
        </w:tc>
        <w:tc>
          <w:tcPr>
            <w:tcW w:w="2338" w:type="dxa"/>
            <w:shd w:val="clear" w:color="auto" w:fill="auto"/>
            <w:hideMark/>
          </w:tcPr>
          <w:p w:rsidR="00315B97" w:rsidRPr="00635C41" w:rsidRDefault="00315B97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Výroční zpráva povinného subjektu o své činnosti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 oblasti poskytování informací podle § 18 zákona č. 106/1999 Sb.</w:t>
            </w:r>
          </w:p>
        </w:tc>
        <w:tc>
          <w:tcPr>
            <w:tcW w:w="4979" w:type="dxa"/>
            <w:shd w:val="clear" w:color="auto" w:fill="auto"/>
            <w:hideMark/>
          </w:tcPr>
          <w:p w:rsidR="00315B97" w:rsidRPr="00290FC5" w:rsidRDefault="00315B97" w:rsidP="00481DD5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A0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Uzná se 1 bod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pokud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je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v době hodnocení krajských kol 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zveřejněna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výroční zpráva </w:t>
            </w:r>
            <w:r w:rsidRPr="00290F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alespoň za roky 20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290F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 20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  <w:r w:rsidRPr="00290FC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  <w:r w:rsidRPr="00290F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K roku 202</w:t>
            </w:r>
            <w:r w:rsidR="00481D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: v</w:t>
            </w:r>
            <w:r w:rsidRPr="00290F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ýroční zprávu za rok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</w:t>
            </w:r>
            <w:r w:rsidR="00481D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Pr="00290F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je subjekt povinen dle zákona č. 106/1999 Sb. zveřejnit nejpozději do 1. března 202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Pr="00290F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; pokud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tedy</w:t>
            </w:r>
            <w:r w:rsidRPr="00290F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hodnocení krajského kola bude probíhat do 1. března 202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Pr="00290F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nelze za nezveřejn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ě</w:t>
            </w:r>
            <w:r w:rsidRPr="00290F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nou výroční zprávu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za rok 2021 </w:t>
            </w:r>
            <w:r w:rsidRPr="00290F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soutěžícího sankcionovat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po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1.3.2022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již lze soutěžícího sankcionovat za nezveřejnění zprávy za rok 2021</w:t>
            </w:r>
            <w:r w:rsidRPr="00290F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.)</w:t>
            </w:r>
          </w:p>
        </w:tc>
      </w:tr>
      <w:tr w:rsidR="00411368" w:rsidRPr="00635C41" w:rsidTr="00254BEF">
        <w:trPr>
          <w:trHeight w:val="1380"/>
        </w:trPr>
        <w:tc>
          <w:tcPr>
            <w:tcW w:w="675" w:type="dxa"/>
            <w:shd w:val="clear" w:color="auto" w:fill="auto"/>
            <w:hideMark/>
          </w:tcPr>
          <w:p w:rsidR="00411368" w:rsidRPr="00635C41" w:rsidRDefault="00411368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073" w:type="dxa"/>
            <w:gridSpan w:val="2"/>
            <w:shd w:val="clear" w:color="auto" w:fill="auto"/>
            <w:hideMark/>
          </w:tcPr>
          <w:p w:rsidR="00411368" w:rsidRPr="00635C41" w:rsidRDefault="00411368" w:rsidP="00481DD5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informace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 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zpracování osobních údajů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481D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Pozn.: není vyžadováno dle zákona č. 106/1999 Sb., ale dle </w:t>
            </w:r>
            <w:r w:rsidRPr="00481DD5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§ 8 a násl. Zákona č. 110/2019 Sb.</w:t>
            </w:r>
          </w:p>
        </w:tc>
        <w:tc>
          <w:tcPr>
            <w:tcW w:w="2338" w:type="dxa"/>
            <w:shd w:val="clear" w:color="auto" w:fill="auto"/>
            <w:hideMark/>
          </w:tcPr>
          <w:p w:rsidR="00411368" w:rsidRPr="00635C41" w:rsidRDefault="00411368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nformace, týkající se zejména účelu zpracování, kategorií osobních údajů, kategorií subjektů údajů, kategorií příjemců a doby uchování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uložených osobních údajů.</w:t>
            </w:r>
          </w:p>
        </w:tc>
        <w:tc>
          <w:tcPr>
            <w:tcW w:w="4979" w:type="dxa"/>
            <w:shd w:val="clear" w:color="auto" w:fill="auto"/>
            <w:hideMark/>
          </w:tcPr>
          <w:p w:rsidR="00411368" w:rsidRDefault="00411368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 w:rsidRPr="00635C41">
              <w:rPr>
                <w:rFonts w:ascii="Arial" w:hAnsi="Arial" w:cs="Arial"/>
                <w:b/>
                <w:sz w:val="18"/>
                <w:szCs w:val="18"/>
              </w:rPr>
              <w:t>zná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35C41">
              <w:rPr>
                <w:rFonts w:ascii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 bod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pokud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jsou informace o zpracování osobních údajů uvedeny.</w:t>
            </w:r>
          </w:p>
          <w:p w:rsidR="00411368" w:rsidRPr="00635C41" w:rsidRDefault="00411368" w:rsidP="004A3E4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Nejsou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–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li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informace o zpracování osobních údajů</w:t>
            </w:r>
            <w:r w:rsidRPr="00635C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uvedeny, </w:t>
            </w:r>
            <w:r w:rsidRPr="00635C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neuzná se.</w:t>
            </w:r>
          </w:p>
          <w:p w:rsidR="00411368" w:rsidRPr="00635C41" w:rsidRDefault="00411368" w:rsidP="004A3E4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924FF0" w:rsidRPr="00CD1AC1" w:rsidRDefault="00924FF0" w:rsidP="003B061D">
      <w:pPr>
        <w:spacing w:after="0"/>
        <w:rPr>
          <w:sz w:val="4"/>
          <w:szCs w:val="4"/>
        </w:rPr>
      </w:pPr>
    </w:p>
    <w:p w:rsidR="005A34A8" w:rsidRPr="00D6103C" w:rsidRDefault="005A34A8" w:rsidP="003B061D">
      <w:pPr>
        <w:spacing w:after="0"/>
        <w:rPr>
          <w:sz w:val="12"/>
          <w:szCs w:val="12"/>
        </w:rPr>
      </w:pPr>
    </w:p>
    <w:p w:rsidR="00385C2F" w:rsidRPr="00CD1AC1" w:rsidRDefault="003B061D" w:rsidP="003B061D">
      <w:pPr>
        <w:spacing w:after="0"/>
        <w:rPr>
          <w:sz w:val="2"/>
          <w:szCs w:val="2"/>
        </w:rPr>
      </w:pPr>
      <w:r w:rsidRPr="00D10DED">
        <w:t xml:space="preserve">Hodnocený web může za </w:t>
      </w:r>
      <w:r w:rsidR="003E1177">
        <w:t xml:space="preserve">základní </w:t>
      </w:r>
      <w:r w:rsidRPr="00D10DED">
        <w:t xml:space="preserve">povinné informace </w:t>
      </w:r>
      <w:r w:rsidR="00924FF0">
        <w:t xml:space="preserve">po </w:t>
      </w:r>
      <w:r w:rsidR="00411368">
        <w:t>přiděle</w:t>
      </w:r>
      <w:r w:rsidR="00924FF0">
        <w:t xml:space="preserve">ní </w:t>
      </w:r>
      <w:r w:rsidR="00411368">
        <w:t xml:space="preserve">bodů </w:t>
      </w:r>
      <w:r w:rsidR="00481DD5">
        <w:t xml:space="preserve">dle </w:t>
      </w:r>
      <w:r w:rsidR="00924FF0">
        <w:t xml:space="preserve">výše uvedené tabulky </w:t>
      </w:r>
      <w:r w:rsidRPr="00D10DED">
        <w:t xml:space="preserve">získat </w:t>
      </w:r>
      <w:r w:rsidR="00411368">
        <w:t>0 </w:t>
      </w:r>
      <w:r w:rsidR="00385C2F">
        <w:t xml:space="preserve">bodů (nic není splněno) </w:t>
      </w:r>
      <w:r w:rsidR="00924FF0">
        <w:t xml:space="preserve">až </w:t>
      </w:r>
      <w:r w:rsidR="003E1177">
        <w:t xml:space="preserve">nejvýše </w:t>
      </w:r>
      <w:r w:rsidRPr="00D10DED">
        <w:t xml:space="preserve">celkem </w:t>
      </w:r>
      <w:r w:rsidR="00385C2F">
        <w:t>10</w:t>
      </w:r>
      <w:r w:rsidR="000746DD">
        <w:t xml:space="preserve"> bod</w:t>
      </w:r>
      <w:r w:rsidR="003E1177">
        <w:t>ů</w:t>
      </w:r>
      <w:r w:rsidR="00385C2F">
        <w:t xml:space="preserve"> (všech 10 bodů </w:t>
      </w:r>
      <w:r w:rsidR="00F34DEB">
        <w:t xml:space="preserve">1 – 10 z výše uvedené tabulky </w:t>
      </w:r>
      <w:r w:rsidR="00385C2F">
        <w:t xml:space="preserve">je </w:t>
      </w:r>
      <w:r w:rsidR="00E81808">
        <w:t xml:space="preserve">v plném rozsahu </w:t>
      </w:r>
      <w:r w:rsidR="00385C2F">
        <w:t xml:space="preserve">splněno). </w:t>
      </w:r>
      <w:r w:rsidR="00411368">
        <w:t xml:space="preserve"> Pro stanovení výsledku </w:t>
      </w:r>
      <w:r w:rsidR="00D6103C">
        <w:t>pro zápis do aplikace pro porotce</w:t>
      </w:r>
      <w:r w:rsidR="00D6103C">
        <w:t xml:space="preserve"> </w:t>
      </w:r>
      <w:r w:rsidR="00411368">
        <w:t xml:space="preserve">je </w:t>
      </w:r>
      <w:bookmarkStart w:id="0" w:name="_GoBack"/>
      <w:bookmarkEnd w:id="0"/>
      <w:r w:rsidR="00411368">
        <w:t>počet takto nasčítaných bodů vydělen dvěma. Pak je dosažený výsledek v intervalu 0 až 5 bodů.</w:t>
      </w:r>
    </w:p>
    <w:p w:rsidR="00385C2F" w:rsidRPr="00CD1AC1" w:rsidRDefault="00385C2F" w:rsidP="003B061D">
      <w:pPr>
        <w:spacing w:after="0"/>
        <w:rPr>
          <w:sz w:val="2"/>
          <w:szCs w:val="2"/>
        </w:rPr>
      </w:pPr>
    </w:p>
    <w:p w:rsidR="007F5384" w:rsidRPr="00CD1AC1" w:rsidRDefault="007F5384" w:rsidP="003B061D">
      <w:pPr>
        <w:spacing w:after="0"/>
        <w:rPr>
          <w:sz w:val="2"/>
          <w:szCs w:val="2"/>
        </w:rPr>
      </w:pPr>
    </w:p>
    <w:p w:rsidR="005A34A8" w:rsidRDefault="000746DD" w:rsidP="00290FC5">
      <w:pPr>
        <w:spacing w:after="0"/>
        <w:rPr>
          <w:b/>
          <w:sz w:val="24"/>
          <w:szCs w:val="24"/>
        </w:rPr>
      </w:pPr>
      <w:r w:rsidRPr="00411368">
        <w:rPr>
          <w:b/>
          <w:sz w:val="24"/>
          <w:szCs w:val="24"/>
        </w:rPr>
        <w:t>Pro postup do celostátního kola je nutno</w:t>
      </w:r>
      <w:r w:rsidR="003B061D" w:rsidRPr="00411368">
        <w:rPr>
          <w:b/>
          <w:sz w:val="24"/>
          <w:szCs w:val="24"/>
        </w:rPr>
        <w:t xml:space="preserve"> získ</w:t>
      </w:r>
      <w:r w:rsidRPr="00411368">
        <w:rPr>
          <w:b/>
          <w:sz w:val="24"/>
          <w:szCs w:val="24"/>
        </w:rPr>
        <w:t>at</w:t>
      </w:r>
      <w:r w:rsidR="003B061D" w:rsidRPr="00411368">
        <w:rPr>
          <w:b/>
          <w:sz w:val="24"/>
          <w:szCs w:val="24"/>
        </w:rPr>
        <w:t xml:space="preserve"> </w:t>
      </w:r>
      <w:r w:rsidR="00924FF0" w:rsidRPr="00411368">
        <w:rPr>
          <w:b/>
          <w:sz w:val="24"/>
          <w:szCs w:val="24"/>
        </w:rPr>
        <w:t xml:space="preserve">alespoň </w:t>
      </w:r>
      <w:r w:rsidR="000D66F1" w:rsidRPr="00411368">
        <w:rPr>
          <w:b/>
          <w:sz w:val="24"/>
          <w:szCs w:val="24"/>
        </w:rPr>
        <w:t>3</w:t>
      </w:r>
      <w:r w:rsidR="00411368" w:rsidRPr="00411368">
        <w:rPr>
          <w:b/>
          <w:sz w:val="24"/>
          <w:szCs w:val="24"/>
        </w:rPr>
        <w:t>,5</w:t>
      </w:r>
      <w:r w:rsidR="003B061D" w:rsidRPr="00411368">
        <w:rPr>
          <w:b/>
          <w:sz w:val="24"/>
          <w:szCs w:val="24"/>
        </w:rPr>
        <w:t xml:space="preserve"> bod</w:t>
      </w:r>
      <w:r w:rsidR="00411368" w:rsidRPr="00411368">
        <w:rPr>
          <w:b/>
          <w:sz w:val="24"/>
          <w:szCs w:val="24"/>
        </w:rPr>
        <w:t>u.</w:t>
      </w:r>
    </w:p>
    <w:p w:rsidR="00411368" w:rsidRPr="00411368" w:rsidRDefault="00481DD5" w:rsidP="00290FC5">
      <w:pPr>
        <w:spacing w:after="0"/>
        <w:rPr>
          <w:sz w:val="24"/>
          <w:szCs w:val="24"/>
        </w:rPr>
      </w:pPr>
      <w:r>
        <w:rPr>
          <w:sz w:val="24"/>
          <w:szCs w:val="24"/>
        </w:rPr>
        <w:t>Věcně t</w:t>
      </w:r>
      <w:r w:rsidR="00411368" w:rsidRPr="00411368">
        <w:rPr>
          <w:sz w:val="24"/>
          <w:szCs w:val="24"/>
        </w:rPr>
        <w:t xml:space="preserve">o znamená, že </w:t>
      </w:r>
      <w:r w:rsidR="00411368">
        <w:rPr>
          <w:sz w:val="24"/>
          <w:szCs w:val="24"/>
        </w:rPr>
        <w:t>dle</w:t>
      </w:r>
      <w:r w:rsidR="00411368" w:rsidRPr="00411368">
        <w:rPr>
          <w:sz w:val="24"/>
          <w:szCs w:val="24"/>
        </w:rPr>
        <w:t> hodnotící tabul</w:t>
      </w:r>
      <w:r w:rsidR="00411368">
        <w:rPr>
          <w:sz w:val="24"/>
          <w:szCs w:val="24"/>
        </w:rPr>
        <w:t>ky</w:t>
      </w:r>
      <w:r w:rsidR="00411368" w:rsidRPr="00411368">
        <w:rPr>
          <w:sz w:val="24"/>
          <w:szCs w:val="24"/>
        </w:rPr>
        <w:t xml:space="preserve"> musí být </w:t>
      </w:r>
      <w:r>
        <w:rPr>
          <w:sz w:val="24"/>
          <w:szCs w:val="24"/>
        </w:rPr>
        <w:t xml:space="preserve">na webu hodnocené obce či města uvedeno </w:t>
      </w:r>
      <w:r w:rsidR="00411368" w:rsidRPr="00411368">
        <w:rPr>
          <w:sz w:val="24"/>
          <w:szCs w:val="24"/>
        </w:rPr>
        <w:t xml:space="preserve">správně alespoň 7 bodů z deseti </w:t>
      </w:r>
      <w:r>
        <w:rPr>
          <w:sz w:val="24"/>
          <w:szCs w:val="24"/>
        </w:rPr>
        <w:t xml:space="preserve">výše </w:t>
      </w:r>
      <w:r w:rsidR="00411368" w:rsidRPr="00411368">
        <w:rPr>
          <w:sz w:val="24"/>
          <w:szCs w:val="24"/>
        </w:rPr>
        <w:t>uvedených.</w:t>
      </w:r>
    </w:p>
    <w:sectPr w:rsidR="00411368" w:rsidRPr="00411368" w:rsidSect="007A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459"/>
    <w:multiLevelType w:val="hybridMultilevel"/>
    <w:tmpl w:val="C840DC88"/>
    <w:lvl w:ilvl="0" w:tplc="5D2AA39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D5FDC"/>
    <w:multiLevelType w:val="hybridMultilevel"/>
    <w:tmpl w:val="A1105062"/>
    <w:lvl w:ilvl="0" w:tplc="5D2AA39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3BFB"/>
    <w:multiLevelType w:val="hybridMultilevel"/>
    <w:tmpl w:val="703ADC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D7"/>
    <w:rsid w:val="00010673"/>
    <w:rsid w:val="000447D0"/>
    <w:rsid w:val="00065C98"/>
    <w:rsid w:val="000746DD"/>
    <w:rsid w:val="00084E03"/>
    <w:rsid w:val="000A3658"/>
    <w:rsid w:val="000A40BF"/>
    <w:rsid w:val="000D66F1"/>
    <w:rsid w:val="000F51FA"/>
    <w:rsid w:val="000F55A8"/>
    <w:rsid w:val="00113137"/>
    <w:rsid w:val="001528BC"/>
    <w:rsid w:val="00154EC2"/>
    <w:rsid w:val="0015657B"/>
    <w:rsid w:val="00187B0A"/>
    <w:rsid w:val="001B5F7C"/>
    <w:rsid w:val="001E5272"/>
    <w:rsid w:val="001F17FB"/>
    <w:rsid w:val="001F37E0"/>
    <w:rsid w:val="00203204"/>
    <w:rsid w:val="002176AB"/>
    <w:rsid w:val="002339F7"/>
    <w:rsid w:val="00265378"/>
    <w:rsid w:val="00275420"/>
    <w:rsid w:val="00290FC5"/>
    <w:rsid w:val="002C2791"/>
    <w:rsid w:val="003150CF"/>
    <w:rsid w:val="00315B97"/>
    <w:rsid w:val="00322BB7"/>
    <w:rsid w:val="00341E7E"/>
    <w:rsid w:val="003501B3"/>
    <w:rsid w:val="00375157"/>
    <w:rsid w:val="00385C2F"/>
    <w:rsid w:val="003A1F64"/>
    <w:rsid w:val="003A3736"/>
    <w:rsid w:val="003B061D"/>
    <w:rsid w:val="003C245F"/>
    <w:rsid w:val="003C7F6C"/>
    <w:rsid w:val="003D3D68"/>
    <w:rsid w:val="003E1177"/>
    <w:rsid w:val="003E48FE"/>
    <w:rsid w:val="003F1160"/>
    <w:rsid w:val="004065E9"/>
    <w:rsid w:val="00411368"/>
    <w:rsid w:val="00423F03"/>
    <w:rsid w:val="00453E7E"/>
    <w:rsid w:val="00481DD5"/>
    <w:rsid w:val="004B1C51"/>
    <w:rsid w:val="004D2FB1"/>
    <w:rsid w:val="004D4873"/>
    <w:rsid w:val="004D49E1"/>
    <w:rsid w:val="00515A62"/>
    <w:rsid w:val="00516A16"/>
    <w:rsid w:val="00525097"/>
    <w:rsid w:val="005A34A8"/>
    <w:rsid w:val="005B5EC2"/>
    <w:rsid w:val="005D150E"/>
    <w:rsid w:val="005D613C"/>
    <w:rsid w:val="005F6CF8"/>
    <w:rsid w:val="00647DAC"/>
    <w:rsid w:val="006B5AF0"/>
    <w:rsid w:val="006D5334"/>
    <w:rsid w:val="006E1EE8"/>
    <w:rsid w:val="006F4115"/>
    <w:rsid w:val="0071050D"/>
    <w:rsid w:val="00777876"/>
    <w:rsid w:val="00781B66"/>
    <w:rsid w:val="007876ED"/>
    <w:rsid w:val="007A3EF9"/>
    <w:rsid w:val="007B3FC5"/>
    <w:rsid w:val="007C3E2B"/>
    <w:rsid w:val="007D313B"/>
    <w:rsid w:val="007D3C7B"/>
    <w:rsid w:val="007D46C5"/>
    <w:rsid w:val="007D69DE"/>
    <w:rsid w:val="007E52F2"/>
    <w:rsid w:val="007E5D22"/>
    <w:rsid w:val="007F291B"/>
    <w:rsid w:val="007F5384"/>
    <w:rsid w:val="0080437A"/>
    <w:rsid w:val="008066D7"/>
    <w:rsid w:val="00814FE0"/>
    <w:rsid w:val="00833CAF"/>
    <w:rsid w:val="00842AD6"/>
    <w:rsid w:val="00872432"/>
    <w:rsid w:val="00897272"/>
    <w:rsid w:val="008A6448"/>
    <w:rsid w:val="00912B73"/>
    <w:rsid w:val="00924FF0"/>
    <w:rsid w:val="00944817"/>
    <w:rsid w:val="00955B83"/>
    <w:rsid w:val="00A36731"/>
    <w:rsid w:val="00A510CA"/>
    <w:rsid w:val="00A725F3"/>
    <w:rsid w:val="00AB6AAA"/>
    <w:rsid w:val="00B0051F"/>
    <w:rsid w:val="00B23E64"/>
    <w:rsid w:val="00BA0FC7"/>
    <w:rsid w:val="00BB4749"/>
    <w:rsid w:val="00BE41A7"/>
    <w:rsid w:val="00C21085"/>
    <w:rsid w:val="00C8217C"/>
    <w:rsid w:val="00C9212E"/>
    <w:rsid w:val="00C92E05"/>
    <w:rsid w:val="00CA40CA"/>
    <w:rsid w:val="00CB4D7D"/>
    <w:rsid w:val="00CC7D06"/>
    <w:rsid w:val="00CD1AC1"/>
    <w:rsid w:val="00CE7A8D"/>
    <w:rsid w:val="00CF38B5"/>
    <w:rsid w:val="00D024B6"/>
    <w:rsid w:val="00D07800"/>
    <w:rsid w:val="00D500D7"/>
    <w:rsid w:val="00D6103C"/>
    <w:rsid w:val="00D86CC9"/>
    <w:rsid w:val="00D97F7C"/>
    <w:rsid w:val="00DA0908"/>
    <w:rsid w:val="00DA2144"/>
    <w:rsid w:val="00DA3F3F"/>
    <w:rsid w:val="00DA6E16"/>
    <w:rsid w:val="00DB139A"/>
    <w:rsid w:val="00DD0614"/>
    <w:rsid w:val="00DE7635"/>
    <w:rsid w:val="00E01A48"/>
    <w:rsid w:val="00E06F9D"/>
    <w:rsid w:val="00E751DE"/>
    <w:rsid w:val="00E81808"/>
    <w:rsid w:val="00E82B09"/>
    <w:rsid w:val="00E92A89"/>
    <w:rsid w:val="00E946A5"/>
    <w:rsid w:val="00EA3691"/>
    <w:rsid w:val="00EB3F87"/>
    <w:rsid w:val="00F1375E"/>
    <w:rsid w:val="00F20BDE"/>
    <w:rsid w:val="00F3316D"/>
    <w:rsid w:val="00F34DE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8C02"/>
  <w15:docId w15:val="{C8D816E3-6B55-41C2-873A-95C85F2F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3B061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4B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3B061D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3E1177"/>
    <w:pPr>
      <w:ind w:left="720"/>
      <w:contextualSpacing/>
    </w:pPr>
  </w:style>
  <w:style w:type="table" w:styleId="Mkatabulky">
    <w:name w:val="Table Grid"/>
    <w:basedOn w:val="Normlntabulka"/>
    <w:uiPriority w:val="59"/>
    <w:rsid w:val="0038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1007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Holenda Tomáš</dc:creator>
  <cp:lastModifiedBy>Holenda Tomáš</cp:lastModifiedBy>
  <cp:revision>3</cp:revision>
  <dcterms:created xsi:type="dcterms:W3CDTF">2022-01-31T11:11:00Z</dcterms:created>
  <dcterms:modified xsi:type="dcterms:W3CDTF">2022-01-31T13:34:00Z</dcterms:modified>
</cp:coreProperties>
</file>