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C5CEF" w14:textId="0B9D84A8" w:rsidR="004C34A4" w:rsidRPr="00CB5DBE" w:rsidRDefault="004C34A4" w:rsidP="00CB5DBE">
      <w:pPr>
        <w:jc w:val="center"/>
        <w:rPr>
          <w:rFonts w:ascii="Tahoma" w:hAnsi="Tahoma" w:cs="Tahoma"/>
          <w:b/>
        </w:rPr>
      </w:pPr>
      <w:bookmarkStart w:id="0" w:name="_GoBack"/>
      <w:r w:rsidRPr="00CB5DBE">
        <w:rPr>
          <w:rFonts w:ascii="Tahoma" w:hAnsi="Tahoma" w:cs="Tahoma"/>
          <w:b/>
        </w:rPr>
        <w:t xml:space="preserve">Další závěry průzkumu </w:t>
      </w:r>
      <w:r w:rsidR="00D55029" w:rsidRPr="00CB5DBE">
        <w:rPr>
          <w:rFonts w:ascii="Tahoma" w:hAnsi="Tahoma" w:cs="Tahoma"/>
          <w:b/>
        </w:rPr>
        <w:t>na zlepšení podnikatelského prostředí v </w:t>
      </w:r>
      <w:r w:rsidR="002D6AF7" w:rsidRPr="00CB5DBE">
        <w:rPr>
          <w:rFonts w:ascii="Tahoma" w:hAnsi="Tahoma" w:cs="Tahoma"/>
          <w:b/>
        </w:rPr>
        <w:t>Ústeckém</w:t>
      </w:r>
      <w:r w:rsidR="00D55029" w:rsidRPr="00CB5DBE">
        <w:rPr>
          <w:rFonts w:ascii="Tahoma" w:hAnsi="Tahoma" w:cs="Tahoma"/>
          <w:b/>
        </w:rPr>
        <w:t xml:space="preserve"> kraji </w:t>
      </w:r>
      <w:bookmarkEnd w:id="0"/>
      <w:r w:rsidRPr="00CB5DBE">
        <w:rPr>
          <w:rFonts w:ascii="Tahoma" w:hAnsi="Tahoma" w:cs="Tahoma"/>
          <w:b/>
        </w:rPr>
        <w:t>shrnuje následující přehled:</w:t>
      </w:r>
    </w:p>
    <w:tbl>
      <w:tblPr>
        <w:tblStyle w:val="Mkatabulky"/>
        <w:tblW w:w="0" w:type="auto"/>
        <w:tblLook w:val="04A0" w:firstRow="1" w:lastRow="0" w:firstColumn="1" w:lastColumn="0" w:noHBand="0" w:noVBand="1"/>
      </w:tblPr>
      <w:tblGrid>
        <w:gridCol w:w="9062"/>
      </w:tblGrid>
      <w:tr w:rsidR="004C34A4" w14:paraId="28AE6040" w14:textId="77777777" w:rsidTr="004C34A4">
        <w:tc>
          <w:tcPr>
            <w:tcW w:w="9062" w:type="dxa"/>
          </w:tcPr>
          <w:p w14:paraId="0DB30AB4" w14:textId="24EE6D78" w:rsidR="004C34A4" w:rsidRPr="00D55029" w:rsidRDefault="004C34A4" w:rsidP="009A710D">
            <w:pPr>
              <w:jc w:val="both"/>
              <w:rPr>
                <w:rFonts w:ascii="Tahoma" w:hAnsi="Tahoma" w:cs="Tahoma"/>
                <w:b/>
                <w:bCs/>
              </w:rPr>
            </w:pPr>
            <w:r w:rsidRPr="00D55029">
              <w:rPr>
                <w:rFonts w:ascii="Tahoma" w:hAnsi="Tahoma" w:cs="Tahoma"/>
                <w:b/>
                <w:bCs/>
              </w:rPr>
              <w:t>Suroviny, polotovary, energie a mzdy</w:t>
            </w:r>
          </w:p>
        </w:tc>
      </w:tr>
      <w:tr w:rsidR="004C34A4" w14:paraId="145C55D1" w14:textId="77777777" w:rsidTr="004C34A4">
        <w:tc>
          <w:tcPr>
            <w:tcW w:w="9062" w:type="dxa"/>
          </w:tcPr>
          <w:p w14:paraId="44AF4E51" w14:textId="76F93A46" w:rsidR="004C34A4" w:rsidRDefault="002D6AF7" w:rsidP="009A710D">
            <w:pPr>
              <w:jc w:val="both"/>
              <w:rPr>
                <w:rFonts w:ascii="Tahoma" w:hAnsi="Tahoma" w:cs="Tahoma"/>
              </w:rPr>
            </w:pPr>
            <w:r>
              <w:rPr>
                <w:rFonts w:ascii="Tahoma" w:hAnsi="Tahoma" w:cs="Tahoma"/>
              </w:rPr>
              <w:t>8</w:t>
            </w:r>
            <w:r w:rsidR="004C34A4">
              <w:rPr>
                <w:rFonts w:ascii="Tahoma" w:hAnsi="Tahoma" w:cs="Tahoma"/>
              </w:rPr>
              <w:t>8 % firem v </w:t>
            </w:r>
            <w:r>
              <w:rPr>
                <w:rFonts w:ascii="Tahoma" w:hAnsi="Tahoma" w:cs="Tahoma"/>
              </w:rPr>
              <w:t>Ústeckém</w:t>
            </w:r>
            <w:r w:rsidR="004C34A4">
              <w:rPr>
                <w:rFonts w:ascii="Tahoma" w:hAnsi="Tahoma" w:cs="Tahoma"/>
              </w:rPr>
              <w:t xml:space="preserve"> kraji uvedlo, že bylo zasaženo v posledních 6 ti měsících nedostatkem vstupních surovin a polotovarů.</w:t>
            </w:r>
            <w:r>
              <w:rPr>
                <w:rFonts w:ascii="Tahoma" w:hAnsi="Tahoma" w:cs="Tahoma"/>
              </w:rPr>
              <w:t xml:space="preserve"> V porovnání s celorepublikovým průměrem</w:t>
            </w:r>
            <w:r w:rsidR="006B78BF">
              <w:rPr>
                <w:rFonts w:ascii="Tahoma" w:hAnsi="Tahoma" w:cs="Tahoma"/>
              </w:rPr>
              <w:t xml:space="preserve"> (69 %)</w:t>
            </w:r>
            <w:r>
              <w:rPr>
                <w:rFonts w:ascii="Tahoma" w:hAnsi="Tahoma" w:cs="Tahoma"/>
              </w:rPr>
              <w:t xml:space="preserve"> je to téměř o 20 % více</w:t>
            </w:r>
            <w:r w:rsidR="006B78BF">
              <w:rPr>
                <w:rFonts w:ascii="Tahoma" w:hAnsi="Tahoma" w:cs="Tahoma"/>
              </w:rPr>
              <w:t>.</w:t>
            </w:r>
          </w:p>
        </w:tc>
      </w:tr>
      <w:tr w:rsidR="004C34A4" w14:paraId="14E1318D" w14:textId="77777777" w:rsidTr="004C34A4">
        <w:tc>
          <w:tcPr>
            <w:tcW w:w="9062" w:type="dxa"/>
          </w:tcPr>
          <w:p w14:paraId="3554E4FB" w14:textId="33DF3A5F" w:rsidR="004C34A4" w:rsidRDefault="002D6AF7" w:rsidP="009A710D">
            <w:pPr>
              <w:jc w:val="both"/>
              <w:rPr>
                <w:rFonts w:ascii="Tahoma" w:hAnsi="Tahoma" w:cs="Tahoma"/>
              </w:rPr>
            </w:pPr>
            <w:r>
              <w:rPr>
                <w:rFonts w:ascii="Tahoma" w:hAnsi="Tahoma" w:cs="Tahoma"/>
              </w:rPr>
              <w:t>Všechny firmy v Ústeckém kraji, které odpověděly v</w:t>
            </w:r>
            <w:r w:rsidR="00C0537D">
              <w:rPr>
                <w:rFonts w:ascii="Tahoma" w:hAnsi="Tahoma" w:cs="Tahoma"/>
              </w:rPr>
              <w:t> </w:t>
            </w:r>
            <w:r>
              <w:rPr>
                <w:rFonts w:ascii="Tahoma" w:hAnsi="Tahoma" w:cs="Tahoma"/>
              </w:rPr>
              <w:t>průzkumu</w:t>
            </w:r>
            <w:r w:rsidR="00C0537D">
              <w:rPr>
                <w:rFonts w:ascii="Tahoma" w:hAnsi="Tahoma" w:cs="Tahoma"/>
              </w:rPr>
              <w:t>,</w:t>
            </w:r>
            <w:r>
              <w:rPr>
                <w:rFonts w:ascii="Tahoma" w:hAnsi="Tahoma" w:cs="Tahoma"/>
              </w:rPr>
              <w:t xml:space="preserve"> </w:t>
            </w:r>
            <w:r w:rsidR="00D55029">
              <w:rPr>
                <w:rFonts w:ascii="Tahoma" w:hAnsi="Tahoma" w:cs="Tahoma"/>
              </w:rPr>
              <w:t>byl</w:t>
            </w:r>
            <w:r>
              <w:rPr>
                <w:rFonts w:ascii="Tahoma" w:hAnsi="Tahoma" w:cs="Tahoma"/>
              </w:rPr>
              <w:t>y</w:t>
            </w:r>
            <w:r w:rsidR="00D55029">
              <w:rPr>
                <w:rFonts w:ascii="Tahoma" w:hAnsi="Tahoma" w:cs="Tahoma"/>
              </w:rPr>
              <w:t xml:space="preserve"> </w:t>
            </w:r>
            <w:bookmarkStart w:id="1" w:name="_Hlk119861152"/>
            <w:r w:rsidR="00D55029">
              <w:rPr>
                <w:rFonts w:ascii="Tahoma" w:hAnsi="Tahoma" w:cs="Tahoma"/>
              </w:rPr>
              <w:t>zasažen</w:t>
            </w:r>
            <w:r>
              <w:rPr>
                <w:rFonts w:ascii="Tahoma" w:hAnsi="Tahoma" w:cs="Tahoma"/>
              </w:rPr>
              <w:t>y</w:t>
            </w:r>
            <w:r w:rsidR="00D55029">
              <w:rPr>
                <w:rFonts w:ascii="Tahoma" w:hAnsi="Tahoma" w:cs="Tahoma"/>
              </w:rPr>
              <w:t xml:space="preserve"> nárůstem cen vstupů surovin, polotovarů, energií a mezd.</w:t>
            </w:r>
            <w:bookmarkEnd w:id="1"/>
          </w:p>
        </w:tc>
      </w:tr>
      <w:tr w:rsidR="004C34A4" w14:paraId="31113FC3" w14:textId="77777777" w:rsidTr="004C34A4">
        <w:tc>
          <w:tcPr>
            <w:tcW w:w="9062" w:type="dxa"/>
          </w:tcPr>
          <w:p w14:paraId="1E36A2D3" w14:textId="27C10B88" w:rsidR="004C34A4" w:rsidRPr="00D55029" w:rsidRDefault="00D55029" w:rsidP="009A710D">
            <w:pPr>
              <w:jc w:val="both"/>
              <w:rPr>
                <w:rFonts w:ascii="Tahoma" w:hAnsi="Tahoma" w:cs="Tahoma"/>
                <w:b/>
                <w:bCs/>
              </w:rPr>
            </w:pPr>
            <w:r w:rsidRPr="00D55029">
              <w:rPr>
                <w:rFonts w:ascii="Tahoma" w:hAnsi="Tahoma" w:cs="Tahoma"/>
                <w:b/>
                <w:bCs/>
              </w:rPr>
              <w:t>Vliv ruské invaze na Ukrajinu</w:t>
            </w:r>
          </w:p>
        </w:tc>
      </w:tr>
      <w:tr w:rsidR="004C34A4" w14:paraId="7793EF22" w14:textId="77777777" w:rsidTr="004C34A4">
        <w:tc>
          <w:tcPr>
            <w:tcW w:w="9062" w:type="dxa"/>
          </w:tcPr>
          <w:p w14:paraId="7DC7DDC6" w14:textId="59B85965" w:rsidR="004C34A4" w:rsidRDefault="002D6AF7" w:rsidP="009A710D">
            <w:pPr>
              <w:jc w:val="both"/>
              <w:rPr>
                <w:rFonts w:ascii="Tahoma" w:hAnsi="Tahoma" w:cs="Tahoma"/>
              </w:rPr>
            </w:pPr>
            <w:r>
              <w:rPr>
                <w:rFonts w:ascii="Tahoma" w:hAnsi="Tahoma" w:cs="Tahoma"/>
              </w:rPr>
              <w:t>71</w:t>
            </w:r>
            <w:r w:rsidR="00D55029">
              <w:rPr>
                <w:rFonts w:ascii="Tahoma" w:hAnsi="Tahoma" w:cs="Tahoma"/>
              </w:rPr>
              <w:t xml:space="preserve"> % bylo zasaženo ruskou invazí na Ukrajinu</w:t>
            </w:r>
            <w:r>
              <w:rPr>
                <w:rFonts w:ascii="Tahoma" w:hAnsi="Tahoma" w:cs="Tahoma"/>
              </w:rPr>
              <w:t>, z</w:t>
            </w:r>
            <w:r w:rsidR="00D55029">
              <w:rPr>
                <w:rFonts w:ascii="Tahoma" w:hAnsi="Tahoma" w:cs="Tahoma"/>
              </w:rPr>
              <w:t xml:space="preserve">atímco v rámci celé ČR </w:t>
            </w:r>
            <w:r>
              <w:rPr>
                <w:rFonts w:ascii="Tahoma" w:hAnsi="Tahoma" w:cs="Tahoma"/>
              </w:rPr>
              <w:t xml:space="preserve">to je </w:t>
            </w:r>
            <w:r w:rsidR="006B78BF">
              <w:rPr>
                <w:rFonts w:ascii="Tahoma" w:hAnsi="Tahoma" w:cs="Tahoma"/>
              </w:rPr>
              <w:t xml:space="preserve">o 8 % méně a to </w:t>
            </w:r>
            <w:r>
              <w:rPr>
                <w:rFonts w:ascii="Tahoma" w:hAnsi="Tahoma" w:cs="Tahoma"/>
              </w:rPr>
              <w:t>63 %</w:t>
            </w:r>
            <w:r w:rsidR="00D55029">
              <w:rPr>
                <w:rFonts w:ascii="Tahoma" w:hAnsi="Tahoma" w:cs="Tahoma"/>
              </w:rPr>
              <w:t xml:space="preserve">. </w:t>
            </w:r>
          </w:p>
        </w:tc>
      </w:tr>
      <w:tr w:rsidR="004C34A4" w14:paraId="0D59E744" w14:textId="77777777" w:rsidTr="004C34A4">
        <w:tc>
          <w:tcPr>
            <w:tcW w:w="9062" w:type="dxa"/>
          </w:tcPr>
          <w:p w14:paraId="0149F573" w14:textId="4953DB32" w:rsidR="004C34A4" w:rsidRDefault="006B78BF" w:rsidP="00D55029">
            <w:pPr>
              <w:jc w:val="both"/>
              <w:rPr>
                <w:rFonts w:ascii="Tahoma" w:hAnsi="Tahoma" w:cs="Tahoma"/>
              </w:rPr>
            </w:pPr>
            <w:r>
              <w:rPr>
                <w:rFonts w:ascii="Tahoma" w:hAnsi="Tahoma" w:cs="Tahoma"/>
              </w:rPr>
              <w:t>18</w:t>
            </w:r>
            <w:r w:rsidR="00D55029">
              <w:rPr>
                <w:rFonts w:ascii="Tahoma" w:hAnsi="Tahoma" w:cs="Tahoma"/>
              </w:rPr>
              <w:t xml:space="preserve"> % zvažuje účast na zakázkách při obnově Ukrajiny, což </w:t>
            </w:r>
            <w:r>
              <w:rPr>
                <w:rFonts w:ascii="Tahoma" w:hAnsi="Tahoma" w:cs="Tahoma"/>
              </w:rPr>
              <w:t>je v porovnání s celorepublikovým průměrem (35 %) o 17 % méně.</w:t>
            </w:r>
          </w:p>
        </w:tc>
      </w:tr>
      <w:tr w:rsidR="004C34A4" w14:paraId="0C4F9589" w14:textId="77777777" w:rsidTr="004C34A4">
        <w:tc>
          <w:tcPr>
            <w:tcW w:w="9062" w:type="dxa"/>
          </w:tcPr>
          <w:p w14:paraId="4D09CECE" w14:textId="300B7AA0" w:rsidR="004C34A4" w:rsidRPr="00D55029" w:rsidRDefault="00D55029" w:rsidP="009A710D">
            <w:pPr>
              <w:jc w:val="both"/>
              <w:rPr>
                <w:rFonts w:ascii="Tahoma" w:hAnsi="Tahoma" w:cs="Tahoma"/>
                <w:b/>
                <w:bCs/>
              </w:rPr>
            </w:pPr>
            <w:r w:rsidRPr="00D55029">
              <w:rPr>
                <w:rFonts w:ascii="Tahoma" w:hAnsi="Tahoma" w:cs="Tahoma"/>
                <w:b/>
                <w:bCs/>
              </w:rPr>
              <w:t>Investiční pobídky</w:t>
            </w:r>
            <w:r>
              <w:rPr>
                <w:rFonts w:ascii="Tahoma" w:hAnsi="Tahoma" w:cs="Tahoma"/>
                <w:b/>
                <w:bCs/>
              </w:rPr>
              <w:t>, dotační tituly</w:t>
            </w:r>
          </w:p>
        </w:tc>
      </w:tr>
      <w:tr w:rsidR="004C34A4" w14:paraId="7AE094A2" w14:textId="77777777" w:rsidTr="004C34A4">
        <w:tc>
          <w:tcPr>
            <w:tcW w:w="9062" w:type="dxa"/>
          </w:tcPr>
          <w:p w14:paraId="642858B9" w14:textId="4BD9CC35" w:rsidR="004C34A4" w:rsidRDefault="006B78BF" w:rsidP="00D55029">
            <w:pPr>
              <w:jc w:val="both"/>
              <w:rPr>
                <w:rFonts w:ascii="Tahoma" w:hAnsi="Tahoma" w:cs="Tahoma"/>
              </w:rPr>
            </w:pPr>
            <w:r>
              <w:rPr>
                <w:rFonts w:ascii="Tahoma" w:hAnsi="Tahoma" w:cs="Tahoma"/>
              </w:rPr>
              <w:t>59</w:t>
            </w:r>
            <w:r w:rsidR="00D55029">
              <w:rPr>
                <w:rFonts w:ascii="Tahoma" w:hAnsi="Tahoma" w:cs="Tahoma"/>
              </w:rPr>
              <w:t xml:space="preserve"> % </w:t>
            </w:r>
            <w:r>
              <w:rPr>
                <w:rFonts w:ascii="Tahoma" w:hAnsi="Tahoma" w:cs="Tahoma"/>
              </w:rPr>
              <w:t xml:space="preserve">firem </w:t>
            </w:r>
            <w:r w:rsidR="00D55029">
              <w:rPr>
                <w:rFonts w:ascii="Tahoma" w:hAnsi="Tahoma" w:cs="Tahoma"/>
              </w:rPr>
              <w:t>v </w:t>
            </w:r>
            <w:r>
              <w:rPr>
                <w:rFonts w:ascii="Tahoma" w:hAnsi="Tahoma" w:cs="Tahoma"/>
              </w:rPr>
              <w:t>Ústeckém</w:t>
            </w:r>
            <w:r w:rsidR="00D55029">
              <w:rPr>
                <w:rFonts w:ascii="Tahoma" w:hAnsi="Tahoma" w:cs="Tahoma"/>
              </w:rPr>
              <w:t xml:space="preserve"> kraji uvedlo, že dostupnost investičních pobídek ovlivňuje rozhodování jejich firmy o investicích v České republice, zatímco celorepublikový průměr je o </w:t>
            </w:r>
            <w:r>
              <w:rPr>
                <w:rFonts w:ascii="Tahoma" w:hAnsi="Tahoma" w:cs="Tahoma"/>
              </w:rPr>
              <w:t>15</w:t>
            </w:r>
            <w:r w:rsidR="00D55029">
              <w:rPr>
                <w:rFonts w:ascii="Tahoma" w:hAnsi="Tahoma" w:cs="Tahoma"/>
              </w:rPr>
              <w:t xml:space="preserve"> % nižší a to </w:t>
            </w:r>
            <w:r>
              <w:rPr>
                <w:rFonts w:ascii="Tahoma" w:hAnsi="Tahoma" w:cs="Tahoma"/>
              </w:rPr>
              <w:t>44</w:t>
            </w:r>
            <w:r w:rsidR="00D55029">
              <w:rPr>
                <w:rFonts w:ascii="Tahoma" w:hAnsi="Tahoma" w:cs="Tahoma"/>
              </w:rPr>
              <w:t xml:space="preserve"> %.</w:t>
            </w:r>
          </w:p>
        </w:tc>
      </w:tr>
      <w:tr w:rsidR="00D55029" w14:paraId="396D27DA" w14:textId="77777777" w:rsidTr="004C34A4">
        <w:tc>
          <w:tcPr>
            <w:tcW w:w="9062" w:type="dxa"/>
          </w:tcPr>
          <w:p w14:paraId="67D38A4A" w14:textId="46CAB639" w:rsidR="00D55029" w:rsidRDefault="006B78BF" w:rsidP="00D55029">
            <w:pPr>
              <w:jc w:val="both"/>
              <w:rPr>
                <w:rFonts w:ascii="Tahoma" w:hAnsi="Tahoma" w:cs="Tahoma"/>
              </w:rPr>
            </w:pPr>
            <w:r>
              <w:rPr>
                <w:rFonts w:ascii="Tahoma" w:hAnsi="Tahoma" w:cs="Tahoma"/>
              </w:rPr>
              <w:t>88 % firem v Ústeckém kraji uvedlo,</w:t>
            </w:r>
            <w:r w:rsidR="00D55029">
              <w:rPr>
                <w:rFonts w:ascii="Tahoma" w:hAnsi="Tahoma" w:cs="Tahoma"/>
              </w:rPr>
              <w:t xml:space="preserve"> že plánuj</w:t>
            </w:r>
            <w:r>
              <w:rPr>
                <w:rFonts w:ascii="Tahoma" w:hAnsi="Tahoma" w:cs="Tahoma"/>
              </w:rPr>
              <w:t>e</w:t>
            </w:r>
            <w:r w:rsidR="00D55029">
              <w:rPr>
                <w:rFonts w:ascii="Tahoma" w:hAnsi="Tahoma" w:cs="Tahoma"/>
              </w:rPr>
              <w:t xml:space="preserve"> další investice v</w:t>
            </w:r>
            <w:r>
              <w:rPr>
                <w:rFonts w:ascii="Tahoma" w:hAnsi="Tahoma" w:cs="Tahoma"/>
              </w:rPr>
              <w:t> </w:t>
            </w:r>
            <w:r w:rsidR="00D55029">
              <w:rPr>
                <w:rFonts w:ascii="Tahoma" w:hAnsi="Tahoma" w:cs="Tahoma"/>
              </w:rPr>
              <w:t>Česku</w:t>
            </w:r>
            <w:r>
              <w:rPr>
                <w:rFonts w:ascii="Tahoma" w:hAnsi="Tahoma" w:cs="Tahoma"/>
              </w:rPr>
              <w:t>, což je o 8 % více než celorepublikový průměr (80 %).</w:t>
            </w:r>
          </w:p>
        </w:tc>
      </w:tr>
      <w:tr w:rsidR="00D55029" w14:paraId="687A7A64" w14:textId="77777777" w:rsidTr="004C34A4">
        <w:tc>
          <w:tcPr>
            <w:tcW w:w="9062" w:type="dxa"/>
          </w:tcPr>
          <w:p w14:paraId="01E27A4D" w14:textId="5EC6D39A" w:rsidR="00D55029" w:rsidRDefault="006874A6" w:rsidP="00D55029">
            <w:pPr>
              <w:jc w:val="both"/>
              <w:rPr>
                <w:rFonts w:ascii="Tahoma" w:hAnsi="Tahoma" w:cs="Tahoma"/>
              </w:rPr>
            </w:pPr>
            <w:r w:rsidRPr="006874A6">
              <w:rPr>
                <w:rFonts w:ascii="Tahoma" w:hAnsi="Tahoma" w:cs="Tahoma"/>
              </w:rPr>
              <w:t>59</w:t>
            </w:r>
            <w:r w:rsidR="00D55029" w:rsidRPr="006874A6">
              <w:rPr>
                <w:rFonts w:ascii="Tahoma" w:hAnsi="Tahoma" w:cs="Tahoma"/>
              </w:rPr>
              <w:t xml:space="preserve"> % hodlá pro své investice využít dotačních titulů, </w:t>
            </w:r>
            <w:r w:rsidRPr="006874A6">
              <w:rPr>
                <w:rFonts w:ascii="Tahoma" w:hAnsi="Tahoma" w:cs="Tahoma"/>
              </w:rPr>
              <w:t>což kopíruje celorepublikový průměr, který je 61</w:t>
            </w:r>
            <w:r w:rsidR="00D55029" w:rsidRPr="006874A6">
              <w:rPr>
                <w:rFonts w:ascii="Tahoma" w:hAnsi="Tahoma" w:cs="Tahoma"/>
              </w:rPr>
              <w:t xml:space="preserve"> %.</w:t>
            </w:r>
          </w:p>
        </w:tc>
      </w:tr>
      <w:tr w:rsidR="00D55029" w14:paraId="1479F0E5" w14:textId="77777777" w:rsidTr="004C34A4">
        <w:tc>
          <w:tcPr>
            <w:tcW w:w="9062" w:type="dxa"/>
          </w:tcPr>
          <w:p w14:paraId="3DB644CB" w14:textId="1374F5EB" w:rsidR="00D55029" w:rsidRPr="00D55029" w:rsidRDefault="00D55029" w:rsidP="00D55029">
            <w:pPr>
              <w:jc w:val="both"/>
              <w:rPr>
                <w:rFonts w:ascii="Tahoma" w:hAnsi="Tahoma" w:cs="Tahoma"/>
                <w:b/>
                <w:bCs/>
              </w:rPr>
            </w:pPr>
            <w:r w:rsidRPr="00D55029">
              <w:rPr>
                <w:rFonts w:ascii="Tahoma" w:hAnsi="Tahoma" w:cs="Tahoma"/>
                <w:b/>
                <w:bCs/>
              </w:rPr>
              <w:t>ESG</w:t>
            </w:r>
          </w:p>
        </w:tc>
      </w:tr>
      <w:tr w:rsidR="00D55029" w14:paraId="23DF4655" w14:textId="77777777" w:rsidTr="004C34A4">
        <w:tc>
          <w:tcPr>
            <w:tcW w:w="9062" w:type="dxa"/>
          </w:tcPr>
          <w:p w14:paraId="251B502B" w14:textId="402C6B0E" w:rsidR="00D55029" w:rsidRDefault="006874A6" w:rsidP="00D55029">
            <w:pPr>
              <w:jc w:val="both"/>
              <w:rPr>
                <w:rFonts w:ascii="Tahoma" w:hAnsi="Tahoma" w:cs="Tahoma"/>
              </w:rPr>
            </w:pPr>
            <w:r>
              <w:rPr>
                <w:rFonts w:ascii="Tahoma" w:hAnsi="Tahoma" w:cs="Tahoma"/>
              </w:rPr>
              <w:t xml:space="preserve">24 % firem v Ústeckém kraji </w:t>
            </w:r>
            <w:r w:rsidR="00D55029">
              <w:rPr>
                <w:rFonts w:ascii="Tahoma" w:hAnsi="Tahoma" w:cs="Tahoma"/>
              </w:rPr>
              <w:t>ESG strategii nemá a ani ji nepřipravuje, zatímco v rámci ČR je to</w:t>
            </w:r>
            <w:r>
              <w:rPr>
                <w:rFonts w:ascii="Tahoma" w:hAnsi="Tahoma" w:cs="Tahoma"/>
              </w:rPr>
              <w:t xml:space="preserve"> o 16 % více a to</w:t>
            </w:r>
            <w:r w:rsidR="00D55029">
              <w:rPr>
                <w:rFonts w:ascii="Tahoma" w:hAnsi="Tahoma" w:cs="Tahoma"/>
              </w:rPr>
              <w:t xml:space="preserve"> 40 %.</w:t>
            </w:r>
          </w:p>
        </w:tc>
      </w:tr>
      <w:tr w:rsidR="00D55029" w14:paraId="71086C1C" w14:textId="77777777" w:rsidTr="004C34A4">
        <w:tc>
          <w:tcPr>
            <w:tcW w:w="9062" w:type="dxa"/>
          </w:tcPr>
          <w:p w14:paraId="457D3FE1" w14:textId="0275C9EA" w:rsidR="00D55029" w:rsidRPr="00D55029" w:rsidRDefault="00D55029" w:rsidP="00D55029">
            <w:pPr>
              <w:jc w:val="both"/>
              <w:rPr>
                <w:rFonts w:ascii="Tahoma" w:hAnsi="Tahoma" w:cs="Tahoma"/>
                <w:b/>
                <w:bCs/>
              </w:rPr>
            </w:pPr>
            <w:r w:rsidRPr="00D55029">
              <w:rPr>
                <w:rFonts w:ascii="Tahoma" w:hAnsi="Tahoma" w:cs="Tahoma"/>
                <w:b/>
                <w:bCs/>
              </w:rPr>
              <w:t>Od podpory obcí, měst či politické reprezentace firmy v </w:t>
            </w:r>
            <w:r w:rsidR="006874A6">
              <w:rPr>
                <w:rFonts w:ascii="Tahoma" w:hAnsi="Tahoma" w:cs="Tahoma"/>
                <w:b/>
                <w:bCs/>
              </w:rPr>
              <w:t>Ústeckém</w:t>
            </w:r>
            <w:r w:rsidRPr="00D55029">
              <w:rPr>
                <w:rFonts w:ascii="Tahoma" w:hAnsi="Tahoma" w:cs="Tahoma"/>
                <w:b/>
                <w:bCs/>
              </w:rPr>
              <w:t xml:space="preserve"> kraji očekávají:</w:t>
            </w:r>
          </w:p>
        </w:tc>
      </w:tr>
      <w:tr w:rsidR="00D55029" w14:paraId="04E09B83" w14:textId="77777777" w:rsidTr="004C34A4">
        <w:tc>
          <w:tcPr>
            <w:tcW w:w="9062" w:type="dxa"/>
          </w:tcPr>
          <w:p w14:paraId="2D9E7506" w14:textId="77777777" w:rsidR="00D55029" w:rsidRDefault="00D55029" w:rsidP="00D55029">
            <w:pPr>
              <w:pStyle w:val="Odstavecseseznamem"/>
              <w:numPr>
                <w:ilvl w:val="0"/>
                <w:numId w:val="2"/>
              </w:numPr>
              <w:jc w:val="both"/>
              <w:rPr>
                <w:rFonts w:ascii="Tahoma" w:hAnsi="Tahoma" w:cs="Tahoma"/>
              </w:rPr>
            </w:pPr>
            <w:r>
              <w:rPr>
                <w:rFonts w:ascii="Tahoma" w:hAnsi="Tahoma" w:cs="Tahoma"/>
              </w:rPr>
              <w:t>Zlepšení dopravní infrastruktury</w:t>
            </w:r>
          </w:p>
          <w:p w14:paraId="32FC39AD" w14:textId="77777777" w:rsidR="00D55029" w:rsidRDefault="00D55029" w:rsidP="00D55029">
            <w:pPr>
              <w:pStyle w:val="Odstavecseseznamem"/>
              <w:numPr>
                <w:ilvl w:val="0"/>
                <w:numId w:val="2"/>
              </w:numPr>
              <w:jc w:val="both"/>
              <w:rPr>
                <w:rFonts w:ascii="Tahoma" w:hAnsi="Tahoma" w:cs="Tahoma"/>
              </w:rPr>
            </w:pPr>
            <w:r>
              <w:rPr>
                <w:rFonts w:ascii="Tahoma" w:hAnsi="Tahoma" w:cs="Tahoma"/>
              </w:rPr>
              <w:t>Zajištění dostatečného počtu ubytovacích kapacit</w:t>
            </w:r>
          </w:p>
          <w:p w14:paraId="113D7B2A" w14:textId="5A9FF330" w:rsidR="00D55029" w:rsidRDefault="00D55029" w:rsidP="00D55029">
            <w:pPr>
              <w:pStyle w:val="Odstavecseseznamem"/>
              <w:numPr>
                <w:ilvl w:val="0"/>
                <w:numId w:val="2"/>
              </w:numPr>
              <w:jc w:val="both"/>
              <w:rPr>
                <w:rFonts w:ascii="Tahoma" w:hAnsi="Tahoma" w:cs="Tahoma"/>
              </w:rPr>
            </w:pPr>
            <w:r>
              <w:rPr>
                <w:rFonts w:ascii="Tahoma" w:hAnsi="Tahoma" w:cs="Tahoma"/>
              </w:rPr>
              <w:t>Zajištění dostatečného po</w:t>
            </w:r>
            <w:r w:rsidR="00342F3E">
              <w:rPr>
                <w:rFonts w:ascii="Tahoma" w:hAnsi="Tahoma" w:cs="Tahoma"/>
              </w:rPr>
              <w:t>čt</w:t>
            </w:r>
            <w:r>
              <w:rPr>
                <w:rFonts w:ascii="Tahoma" w:hAnsi="Tahoma" w:cs="Tahoma"/>
              </w:rPr>
              <w:t>u míst ve školách a školkách</w:t>
            </w:r>
          </w:p>
          <w:p w14:paraId="7EAAC183" w14:textId="77777777" w:rsidR="00D55029" w:rsidRDefault="00D55029" w:rsidP="00D55029">
            <w:pPr>
              <w:pStyle w:val="Odstavecseseznamem"/>
              <w:numPr>
                <w:ilvl w:val="0"/>
                <w:numId w:val="2"/>
              </w:numPr>
              <w:jc w:val="both"/>
              <w:rPr>
                <w:rFonts w:ascii="Tahoma" w:hAnsi="Tahoma" w:cs="Tahoma"/>
              </w:rPr>
            </w:pPr>
            <w:r>
              <w:rPr>
                <w:rFonts w:ascii="Tahoma" w:hAnsi="Tahoma" w:cs="Tahoma"/>
              </w:rPr>
              <w:t>Snížení administrativní zátěže, digitalizace</w:t>
            </w:r>
          </w:p>
          <w:p w14:paraId="77CEB4D3" w14:textId="77777777" w:rsidR="00D55029" w:rsidRDefault="00D55029" w:rsidP="00D55029">
            <w:pPr>
              <w:pStyle w:val="Odstavecseseznamem"/>
              <w:numPr>
                <w:ilvl w:val="0"/>
                <w:numId w:val="2"/>
              </w:numPr>
              <w:jc w:val="both"/>
              <w:rPr>
                <w:rFonts w:ascii="Tahoma" w:hAnsi="Tahoma" w:cs="Tahoma"/>
              </w:rPr>
            </w:pPr>
            <w:r>
              <w:rPr>
                <w:rFonts w:ascii="Tahoma" w:hAnsi="Tahoma" w:cs="Tahoma"/>
              </w:rPr>
              <w:t>Nezasahovat</w:t>
            </w:r>
          </w:p>
          <w:p w14:paraId="6B28520D" w14:textId="19671715" w:rsidR="00D55029" w:rsidRPr="00D55029" w:rsidRDefault="00D55029" w:rsidP="00D55029">
            <w:pPr>
              <w:pStyle w:val="Odstavecseseznamem"/>
              <w:numPr>
                <w:ilvl w:val="0"/>
                <w:numId w:val="2"/>
              </w:numPr>
              <w:jc w:val="both"/>
              <w:rPr>
                <w:rFonts w:ascii="Tahoma" w:hAnsi="Tahoma" w:cs="Tahoma"/>
              </w:rPr>
            </w:pPr>
            <w:r>
              <w:rPr>
                <w:rFonts w:ascii="Tahoma" w:hAnsi="Tahoma" w:cs="Tahoma"/>
              </w:rPr>
              <w:t>Komunikovat, spolupracovat, zapojovat podniky</w:t>
            </w:r>
          </w:p>
        </w:tc>
      </w:tr>
      <w:tr w:rsidR="00342F3E" w:rsidRPr="00D55029" w14:paraId="16234D2B" w14:textId="77777777" w:rsidTr="00342F3E">
        <w:tc>
          <w:tcPr>
            <w:tcW w:w="9062" w:type="dxa"/>
          </w:tcPr>
          <w:p w14:paraId="18DDF596" w14:textId="77777777" w:rsidR="00342F3E" w:rsidRPr="00D55029" w:rsidRDefault="00342F3E" w:rsidP="002D1CCA">
            <w:pPr>
              <w:jc w:val="both"/>
              <w:rPr>
                <w:rFonts w:ascii="Tahoma" w:hAnsi="Tahoma" w:cs="Tahoma"/>
                <w:b/>
                <w:bCs/>
              </w:rPr>
            </w:pPr>
            <w:r w:rsidRPr="00D55029">
              <w:rPr>
                <w:rFonts w:ascii="Tahoma" w:hAnsi="Tahoma" w:cs="Tahoma"/>
                <w:b/>
                <w:bCs/>
              </w:rPr>
              <w:t>Zaměstnanci</w:t>
            </w:r>
          </w:p>
        </w:tc>
      </w:tr>
      <w:tr w:rsidR="00342F3E" w14:paraId="652678DF" w14:textId="77777777" w:rsidTr="00342F3E">
        <w:tc>
          <w:tcPr>
            <w:tcW w:w="9062" w:type="dxa"/>
          </w:tcPr>
          <w:p w14:paraId="49192829" w14:textId="178D715F" w:rsidR="00342F3E" w:rsidRDefault="006874A6" w:rsidP="002D1CCA">
            <w:pPr>
              <w:jc w:val="both"/>
              <w:rPr>
                <w:rFonts w:ascii="Tahoma" w:hAnsi="Tahoma" w:cs="Tahoma"/>
              </w:rPr>
            </w:pPr>
            <w:r>
              <w:rPr>
                <w:rFonts w:ascii="Tahoma" w:hAnsi="Tahoma" w:cs="Tahoma"/>
              </w:rPr>
              <w:t>67</w:t>
            </w:r>
            <w:r w:rsidR="00342F3E">
              <w:rPr>
                <w:rFonts w:ascii="Tahoma" w:hAnsi="Tahoma" w:cs="Tahoma"/>
              </w:rPr>
              <w:t xml:space="preserve"> % firem z </w:t>
            </w:r>
            <w:r w:rsidR="00066CCF">
              <w:rPr>
                <w:rFonts w:ascii="Tahoma" w:hAnsi="Tahoma" w:cs="Tahoma"/>
              </w:rPr>
              <w:t>Ústeckého</w:t>
            </w:r>
            <w:r w:rsidR="00342F3E">
              <w:rPr>
                <w:rFonts w:ascii="Tahoma" w:hAnsi="Tahoma" w:cs="Tahoma"/>
              </w:rPr>
              <w:t xml:space="preserve"> kraje by podpořilo zrušení kvót na zahraniční zaměstnance, což kopíruje podobný závěr jako v celorepublikovém průměru</w:t>
            </w:r>
            <w:r>
              <w:rPr>
                <w:rFonts w:ascii="Tahoma" w:hAnsi="Tahoma" w:cs="Tahoma"/>
              </w:rPr>
              <w:t xml:space="preserve"> (74 %).</w:t>
            </w:r>
          </w:p>
        </w:tc>
      </w:tr>
      <w:tr w:rsidR="00342F3E" w14:paraId="33EE9CB6" w14:textId="77777777" w:rsidTr="00342F3E">
        <w:tc>
          <w:tcPr>
            <w:tcW w:w="9062" w:type="dxa"/>
          </w:tcPr>
          <w:p w14:paraId="0FF7E3E6" w14:textId="1BBDDD02" w:rsidR="00342F3E" w:rsidRDefault="00342F3E" w:rsidP="002D1CCA">
            <w:pPr>
              <w:jc w:val="both"/>
              <w:rPr>
                <w:rFonts w:ascii="Tahoma" w:hAnsi="Tahoma" w:cs="Tahoma"/>
              </w:rPr>
            </w:pPr>
            <w:r>
              <w:rPr>
                <w:rFonts w:ascii="Tahoma" w:hAnsi="Tahoma" w:cs="Tahoma"/>
              </w:rPr>
              <w:t>Firmám v </w:t>
            </w:r>
            <w:r w:rsidR="00066CCF">
              <w:rPr>
                <w:rFonts w:ascii="Tahoma" w:hAnsi="Tahoma" w:cs="Tahoma"/>
              </w:rPr>
              <w:t>Ústeckém</w:t>
            </w:r>
            <w:r>
              <w:rPr>
                <w:rFonts w:ascii="Tahoma" w:hAnsi="Tahoma" w:cs="Tahoma"/>
              </w:rPr>
              <w:t xml:space="preserve"> kraji nejvíce chybí </w:t>
            </w:r>
            <w:r w:rsidR="00066CCF">
              <w:rPr>
                <w:rFonts w:ascii="Tahoma" w:hAnsi="Tahoma" w:cs="Tahoma"/>
              </w:rPr>
              <w:t>kvalifikovaní pracovníci ve výrobě či skladu (82 %), vyšší technické pozice (53 %) nebo liniový vedoucí ve výrobě (24 %) - (více graf níže).</w:t>
            </w:r>
          </w:p>
        </w:tc>
      </w:tr>
      <w:tr w:rsidR="00342F3E" w14:paraId="40424EEB" w14:textId="77777777" w:rsidTr="00342F3E">
        <w:tc>
          <w:tcPr>
            <w:tcW w:w="9062" w:type="dxa"/>
          </w:tcPr>
          <w:p w14:paraId="63FEC7C2" w14:textId="4BC83FA7" w:rsidR="00342F3E" w:rsidRDefault="00066CCF" w:rsidP="002D1CCA">
            <w:pPr>
              <w:jc w:val="both"/>
              <w:rPr>
                <w:rFonts w:ascii="Tahoma" w:hAnsi="Tahoma" w:cs="Tahoma"/>
              </w:rPr>
            </w:pPr>
            <w:r>
              <w:rPr>
                <w:rFonts w:ascii="Tahoma" w:hAnsi="Tahoma" w:cs="Tahoma"/>
              </w:rPr>
              <w:t>71</w:t>
            </w:r>
            <w:r w:rsidR="00342F3E">
              <w:rPr>
                <w:rFonts w:ascii="Tahoma" w:hAnsi="Tahoma" w:cs="Tahoma"/>
              </w:rPr>
              <w:t xml:space="preserve"> % firem v </w:t>
            </w:r>
            <w:r>
              <w:rPr>
                <w:rFonts w:ascii="Tahoma" w:hAnsi="Tahoma" w:cs="Tahoma"/>
              </w:rPr>
              <w:t>Ústeckém</w:t>
            </w:r>
            <w:r w:rsidR="00342F3E">
              <w:rPr>
                <w:rFonts w:ascii="Tahoma" w:hAnsi="Tahoma" w:cs="Tahoma"/>
              </w:rPr>
              <w:t xml:space="preserve"> kraji uvedlo, že se chtějí rozvíjet v oblasti Digitalizace a robotizace, 5</w:t>
            </w:r>
            <w:r>
              <w:rPr>
                <w:rFonts w:ascii="Tahoma" w:hAnsi="Tahoma" w:cs="Tahoma"/>
              </w:rPr>
              <w:t>9</w:t>
            </w:r>
            <w:r w:rsidR="00342F3E">
              <w:rPr>
                <w:rFonts w:ascii="Tahoma" w:hAnsi="Tahoma" w:cs="Tahoma"/>
              </w:rPr>
              <w:t xml:space="preserve"> % ve Vývoji nových výrobků nebo procesů </w:t>
            </w:r>
            <w:r>
              <w:rPr>
                <w:rFonts w:ascii="Tahoma" w:hAnsi="Tahoma" w:cs="Tahoma"/>
              </w:rPr>
              <w:t>nebo</w:t>
            </w:r>
            <w:r w:rsidR="00342F3E">
              <w:rPr>
                <w:rFonts w:ascii="Tahoma" w:hAnsi="Tahoma" w:cs="Tahoma"/>
              </w:rPr>
              <w:t xml:space="preserve"> 4</w:t>
            </w:r>
            <w:r>
              <w:rPr>
                <w:rFonts w:ascii="Tahoma" w:hAnsi="Tahoma" w:cs="Tahoma"/>
              </w:rPr>
              <w:t>1</w:t>
            </w:r>
            <w:r w:rsidR="00342F3E">
              <w:rPr>
                <w:rFonts w:ascii="Tahoma" w:hAnsi="Tahoma" w:cs="Tahoma"/>
              </w:rPr>
              <w:t xml:space="preserve"> % v oblasti Investic a stavebních úprav pro snížení energetické náročnosti provozu</w:t>
            </w:r>
            <w:r w:rsidR="00C0537D">
              <w:rPr>
                <w:rFonts w:ascii="Tahoma" w:hAnsi="Tahoma" w:cs="Tahoma"/>
              </w:rPr>
              <w:t xml:space="preserve"> – (více graf níže).</w:t>
            </w:r>
          </w:p>
        </w:tc>
      </w:tr>
    </w:tbl>
    <w:p w14:paraId="52CE271B" w14:textId="00ACD2BD" w:rsidR="00342F3E" w:rsidRDefault="00066CCF" w:rsidP="009A710D">
      <w:pPr>
        <w:jc w:val="both"/>
        <w:rPr>
          <w:rFonts w:ascii="Tahoma" w:hAnsi="Tahoma" w:cs="Tahoma"/>
          <w:noProof/>
        </w:rPr>
      </w:pPr>
      <w:r>
        <w:rPr>
          <w:rFonts w:ascii="Tahoma" w:hAnsi="Tahoma" w:cs="Tahoma"/>
          <w:noProof/>
          <w:lang w:eastAsia="cs-CZ"/>
        </w:rPr>
        <w:lastRenderedPageBreak/>
        <w:drawing>
          <wp:anchor distT="0" distB="0" distL="114300" distR="114300" simplePos="0" relativeHeight="251661312" behindDoc="0" locked="0" layoutInCell="1" allowOverlap="1" wp14:anchorId="2711326B" wp14:editId="7455C16C">
            <wp:simplePos x="0" y="0"/>
            <wp:positionH relativeFrom="margin">
              <wp:posOffset>-650966</wp:posOffset>
            </wp:positionH>
            <wp:positionV relativeFrom="paragraph">
              <wp:posOffset>223545</wp:posOffset>
            </wp:positionV>
            <wp:extent cx="3271520" cy="2529205"/>
            <wp:effectExtent l="0" t="0" r="5080" b="444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1520" cy="252920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lang w:eastAsia="cs-CZ"/>
        </w:rPr>
        <w:drawing>
          <wp:anchor distT="0" distB="0" distL="114300" distR="114300" simplePos="0" relativeHeight="251662336" behindDoc="1" locked="0" layoutInCell="1" allowOverlap="1" wp14:anchorId="74E24EF0" wp14:editId="3B3609CA">
            <wp:simplePos x="0" y="0"/>
            <wp:positionH relativeFrom="margin">
              <wp:posOffset>2991534</wp:posOffset>
            </wp:positionH>
            <wp:positionV relativeFrom="paragraph">
              <wp:posOffset>194557</wp:posOffset>
            </wp:positionV>
            <wp:extent cx="3481705" cy="2642235"/>
            <wp:effectExtent l="0" t="0" r="0" b="5715"/>
            <wp:wrapTight wrapText="bothSides">
              <wp:wrapPolygon edited="0">
                <wp:start x="9455" y="0"/>
                <wp:lineTo x="4373" y="1090"/>
                <wp:lineTo x="4373" y="2025"/>
                <wp:lineTo x="9455" y="2803"/>
                <wp:lineTo x="2127" y="3893"/>
                <wp:lineTo x="2127" y="4672"/>
                <wp:lineTo x="9455" y="5295"/>
                <wp:lineTo x="1536" y="6074"/>
                <wp:lineTo x="1536" y="7631"/>
                <wp:lineTo x="9455" y="7787"/>
                <wp:lineTo x="2127" y="8565"/>
                <wp:lineTo x="2127" y="10278"/>
                <wp:lineTo x="9455" y="10278"/>
                <wp:lineTo x="6855" y="11680"/>
                <wp:lineTo x="6855" y="12459"/>
                <wp:lineTo x="9455" y="12770"/>
                <wp:lineTo x="4136" y="14327"/>
                <wp:lineTo x="4136" y="15106"/>
                <wp:lineTo x="9455" y="15262"/>
                <wp:lineTo x="3427" y="16508"/>
                <wp:lineTo x="3191" y="16975"/>
                <wp:lineTo x="3782" y="17753"/>
                <wp:lineTo x="6500" y="20245"/>
                <wp:lineTo x="9336" y="21180"/>
                <wp:lineTo x="9455" y="21491"/>
                <wp:lineTo x="10046" y="21491"/>
                <wp:lineTo x="10164" y="21180"/>
                <wp:lineTo x="10991" y="20245"/>
                <wp:lineTo x="10282" y="18221"/>
                <wp:lineTo x="11582" y="17753"/>
                <wp:lineTo x="11582" y="17130"/>
                <wp:lineTo x="10046" y="15262"/>
                <wp:lineTo x="11582" y="15106"/>
                <wp:lineTo x="11582" y="14327"/>
                <wp:lineTo x="10046" y="12770"/>
                <wp:lineTo x="15364" y="12459"/>
                <wp:lineTo x="15364" y="11524"/>
                <wp:lineTo x="10046" y="10278"/>
                <wp:lineTo x="15364" y="9967"/>
                <wp:lineTo x="15364" y="8877"/>
                <wp:lineTo x="10046" y="7787"/>
                <wp:lineTo x="17018" y="7319"/>
                <wp:lineTo x="17018" y="6541"/>
                <wp:lineTo x="10046" y="5295"/>
                <wp:lineTo x="19737" y="4672"/>
                <wp:lineTo x="19737" y="3738"/>
                <wp:lineTo x="10046" y="2803"/>
                <wp:lineTo x="21391" y="2025"/>
                <wp:lineTo x="21391" y="1090"/>
                <wp:lineTo x="10046" y="0"/>
                <wp:lineTo x="9455"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1705" cy="2642235"/>
                    </a:xfrm>
                    <a:prstGeom prst="rect">
                      <a:avLst/>
                    </a:prstGeom>
                    <a:noFill/>
                  </pic:spPr>
                </pic:pic>
              </a:graphicData>
            </a:graphic>
            <wp14:sizeRelH relativeFrom="margin">
              <wp14:pctWidth>0</wp14:pctWidth>
            </wp14:sizeRelH>
            <wp14:sizeRelV relativeFrom="margin">
              <wp14:pctHeight>0</wp14:pctHeight>
            </wp14:sizeRelV>
          </wp:anchor>
        </w:drawing>
      </w:r>
    </w:p>
    <w:p w14:paraId="0EA0842A" w14:textId="075376C6" w:rsidR="00066CCF" w:rsidRDefault="00066CCF" w:rsidP="009A710D">
      <w:pPr>
        <w:jc w:val="both"/>
        <w:rPr>
          <w:rFonts w:ascii="Tahoma" w:hAnsi="Tahoma" w:cs="Tahoma"/>
          <w:noProof/>
        </w:rPr>
      </w:pPr>
    </w:p>
    <w:p w14:paraId="5B4B8E95" w14:textId="0FE292B4" w:rsidR="00342F3E" w:rsidRDefault="00342F3E" w:rsidP="009A710D">
      <w:pPr>
        <w:jc w:val="both"/>
        <w:rPr>
          <w:rFonts w:ascii="Tahoma" w:hAnsi="Tahoma" w:cs="Tahoma"/>
          <w:noProof/>
        </w:rPr>
      </w:pPr>
    </w:p>
    <w:p w14:paraId="595C45A2" w14:textId="77777777" w:rsidR="00066CCF" w:rsidRDefault="00066CCF" w:rsidP="00943586">
      <w:pPr>
        <w:spacing w:before="120"/>
        <w:jc w:val="both"/>
        <w:rPr>
          <w:rFonts w:ascii="Tahoma" w:hAnsi="Tahoma" w:cs="Tahoma"/>
          <w:sz w:val="20"/>
          <w:szCs w:val="20"/>
          <w:highlight w:val="white"/>
          <w:u w:val="single"/>
        </w:rPr>
      </w:pPr>
    </w:p>
    <w:p w14:paraId="3F130F12" w14:textId="77777777" w:rsidR="00066CCF" w:rsidRDefault="00066CCF" w:rsidP="00943586">
      <w:pPr>
        <w:spacing w:before="120"/>
        <w:jc w:val="both"/>
        <w:rPr>
          <w:rFonts w:ascii="Tahoma" w:hAnsi="Tahoma" w:cs="Tahoma"/>
          <w:sz w:val="20"/>
          <w:szCs w:val="20"/>
          <w:highlight w:val="white"/>
          <w:u w:val="single"/>
        </w:rPr>
      </w:pPr>
    </w:p>
    <w:p w14:paraId="070BE3FE" w14:textId="77777777" w:rsidR="00066CCF" w:rsidRDefault="00066CCF" w:rsidP="00943586">
      <w:pPr>
        <w:spacing w:before="120"/>
        <w:jc w:val="both"/>
        <w:rPr>
          <w:rFonts w:ascii="Tahoma" w:hAnsi="Tahoma" w:cs="Tahoma"/>
          <w:sz w:val="20"/>
          <w:szCs w:val="20"/>
          <w:highlight w:val="white"/>
          <w:u w:val="single"/>
        </w:rPr>
      </w:pPr>
    </w:p>
    <w:p w14:paraId="31AF46F7" w14:textId="77777777" w:rsidR="00066CCF" w:rsidRDefault="00066CCF" w:rsidP="00943586">
      <w:pPr>
        <w:spacing w:before="120"/>
        <w:jc w:val="both"/>
        <w:rPr>
          <w:rFonts w:ascii="Tahoma" w:hAnsi="Tahoma" w:cs="Tahoma"/>
          <w:sz w:val="20"/>
          <w:szCs w:val="20"/>
          <w:highlight w:val="white"/>
          <w:u w:val="single"/>
        </w:rPr>
      </w:pPr>
    </w:p>
    <w:p w14:paraId="060F3514" w14:textId="77777777" w:rsidR="00066CCF" w:rsidRDefault="00066CCF" w:rsidP="00943586">
      <w:pPr>
        <w:spacing w:before="120"/>
        <w:jc w:val="both"/>
        <w:rPr>
          <w:rFonts w:ascii="Tahoma" w:hAnsi="Tahoma" w:cs="Tahoma"/>
          <w:sz w:val="20"/>
          <w:szCs w:val="20"/>
          <w:highlight w:val="white"/>
          <w:u w:val="single"/>
        </w:rPr>
      </w:pPr>
    </w:p>
    <w:p w14:paraId="4A18A02E" w14:textId="77777777" w:rsidR="00066CCF" w:rsidRDefault="00066CCF" w:rsidP="00943586">
      <w:pPr>
        <w:spacing w:before="120"/>
        <w:jc w:val="both"/>
        <w:rPr>
          <w:rFonts w:ascii="Tahoma" w:hAnsi="Tahoma" w:cs="Tahoma"/>
          <w:sz w:val="20"/>
          <w:szCs w:val="20"/>
          <w:highlight w:val="white"/>
          <w:u w:val="single"/>
        </w:rPr>
      </w:pPr>
    </w:p>
    <w:p w14:paraId="1B14579B" w14:textId="77777777" w:rsidR="00066CCF" w:rsidRDefault="00066CCF" w:rsidP="00943586">
      <w:pPr>
        <w:spacing w:before="120"/>
        <w:jc w:val="both"/>
        <w:rPr>
          <w:rFonts w:ascii="Tahoma" w:hAnsi="Tahoma" w:cs="Tahoma"/>
          <w:sz w:val="20"/>
          <w:szCs w:val="20"/>
          <w:highlight w:val="white"/>
          <w:u w:val="single"/>
        </w:rPr>
      </w:pPr>
    </w:p>
    <w:p w14:paraId="7C1ADE61" w14:textId="77777777" w:rsidR="00066CCF" w:rsidRDefault="00066CCF" w:rsidP="00943586">
      <w:pPr>
        <w:spacing w:before="120"/>
        <w:jc w:val="both"/>
        <w:rPr>
          <w:rFonts w:ascii="Tahoma" w:hAnsi="Tahoma" w:cs="Tahoma"/>
          <w:sz w:val="20"/>
          <w:szCs w:val="20"/>
          <w:highlight w:val="white"/>
          <w:u w:val="single"/>
        </w:rPr>
      </w:pPr>
    </w:p>
    <w:p w14:paraId="0F2ECC43" w14:textId="7671857C" w:rsidR="00943586" w:rsidRPr="0008612C" w:rsidRDefault="00943586" w:rsidP="00943586">
      <w:pPr>
        <w:spacing w:before="120"/>
        <w:jc w:val="both"/>
        <w:rPr>
          <w:rFonts w:ascii="Tahoma" w:hAnsi="Tahoma" w:cs="Tahoma"/>
          <w:sz w:val="20"/>
          <w:szCs w:val="20"/>
          <w:u w:val="single"/>
        </w:rPr>
      </w:pPr>
      <w:r w:rsidRPr="0008612C">
        <w:rPr>
          <w:rFonts w:ascii="Tahoma" w:hAnsi="Tahoma" w:cs="Tahoma"/>
          <w:sz w:val="20"/>
          <w:szCs w:val="20"/>
          <w:highlight w:val="white"/>
          <w:u w:val="single"/>
        </w:rPr>
        <w:t>Kontakt: Ivona Novotna, PR Manager, ivona.novotna@afi.cz, 731 889</w:t>
      </w:r>
      <w:r>
        <w:rPr>
          <w:rFonts w:ascii="Tahoma" w:hAnsi="Tahoma" w:cs="Tahoma"/>
          <w:sz w:val="20"/>
          <w:szCs w:val="20"/>
          <w:highlight w:val="white"/>
          <w:u w:val="single"/>
        </w:rPr>
        <w:t> </w:t>
      </w:r>
      <w:r w:rsidRPr="0008612C">
        <w:rPr>
          <w:rFonts w:ascii="Tahoma" w:hAnsi="Tahoma" w:cs="Tahoma"/>
          <w:sz w:val="20"/>
          <w:szCs w:val="20"/>
          <w:highlight w:val="white"/>
          <w:u w:val="single"/>
        </w:rPr>
        <w:t>963</w:t>
      </w:r>
    </w:p>
    <w:p w14:paraId="115EE1C3" w14:textId="77777777" w:rsidR="00943586" w:rsidRPr="0008612C" w:rsidRDefault="00943586" w:rsidP="00943586">
      <w:pPr>
        <w:jc w:val="both"/>
        <w:rPr>
          <w:rFonts w:ascii="Tahoma" w:hAnsi="Tahoma" w:cs="Tahoma"/>
          <w:sz w:val="18"/>
          <w:szCs w:val="18"/>
          <w:u w:val="single"/>
        </w:rPr>
      </w:pPr>
      <w:r w:rsidRPr="0008612C">
        <w:rPr>
          <w:rFonts w:ascii="Tahoma" w:hAnsi="Tahoma" w:cs="Tahoma"/>
          <w:sz w:val="18"/>
          <w:szCs w:val="18"/>
          <w:u w:val="single"/>
        </w:rPr>
        <w:t>O Sdružení pro zahraniční investice - AFI</w:t>
      </w:r>
    </w:p>
    <w:p w14:paraId="0007AAE5" w14:textId="49269475" w:rsidR="00943586" w:rsidRPr="0008612C" w:rsidRDefault="00943586" w:rsidP="00943586">
      <w:pPr>
        <w:jc w:val="both"/>
        <w:rPr>
          <w:rFonts w:ascii="Tahoma" w:hAnsi="Tahoma" w:cs="Tahoma"/>
          <w:sz w:val="18"/>
          <w:szCs w:val="18"/>
        </w:rPr>
      </w:pPr>
      <w:r w:rsidRPr="0008612C">
        <w:rPr>
          <w:rFonts w:ascii="Tahoma" w:hAnsi="Tahoma" w:cs="Tahoma"/>
          <w:sz w:val="18"/>
          <w:szCs w:val="18"/>
        </w:rPr>
        <w:t>Sdružení AFI je organizace pro komplexní podporu investic a investorů v České republice. Vzniklo v roce 1996 jako platforma pro spolupráci veřejného a soukromého sektoru s cílem kontinuálně zlepšovat české investiční prostředí, podmínky pro investory, legislativu a komunikaci a výměnu informací. AFI sdružuje na 40 špičkových firem podporujících prémiové investice, které mají dlouholetou historii v pomoci všem typům nově příchozích investorů na český trh. Tuzemští investoři, od největších globálních značek až po středně velké české firmy s českými vlastníky, se objevují na radaru neustále - od vstupu do EU přes ekonomickou krizi 2008 až po pandemii COVID.  AFI zprostředkovala řadu klíčových zahraničních investic, patří mezi ně například firmy Honeywell, Toyota, Johnson Controls, NEXEN Tire, Denso, Yankee Candle, Canpack a A123.</w:t>
      </w:r>
    </w:p>
    <w:p w14:paraId="4133B762" w14:textId="77777777" w:rsidR="00943586" w:rsidRPr="0008612C" w:rsidRDefault="00943586" w:rsidP="00943586">
      <w:pPr>
        <w:jc w:val="both"/>
        <w:rPr>
          <w:rFonts w:ascii="Tahoma" w:hAnsi="Tahoma" w:cs="Tahoma"/>
          <w:sz w:val="18"/>
          <w:szCs w:val="18"/>
          <w:u w:val="single"/>
        </w:rPr>
      </w:pPr>
      <w:r w:rsidRPr="0008612C">
        <w:rPr>
          <w:rFonts w:ascii="Tahoma" w:hAnsi="Tahoma" w:cs="Tahoma"/>
          <w:sz w:val="18"/>
          <w:szCs w:val="18"/>
          <w:u w:val="single"/>
        </w:rPr>
        <w:t>Czechbusinessguide.com - ojedinělý průvodce pro zahraniční investory</w:t>
      </w:r>
    </w:p>
    <w:p w14:paraId="5F21FE61" w14:textId="324F1F5F" w:rsidR="009C1867" w:rsidRPr="00943586" w:rsidRDefault="00943586" w:rsidP="005629F9">
      <w:pPr>
        <w:jc w:val="both"/>
        <w:rPr>
          <w:rFonts w:ascii="Tahoma" w:hAnsi="Tahoma" w:cs="Tahoma"/>
        </w:rPr>
      </w:pPr>
      <w:r w:rsidRPr="0008612C">
        <w:rPr>
          <w:noProof/>
          <w:lang w:eastAsia="cs-CZ"/>
        </w:rPr>
        <w:drawing>
          <wp:anchor distT="0" distB="0" distL="114300" distR="114300" simplePos="0" relativeHeight="251659264" behindDoc="0" locked="0" layoutInCell="1" hidden="0" allowOverlap="1" wp14:anchorId="71A07413" wp14:editId="3391F41D">
            <wp:simplePos x="0" y="0"/>
            <wp:positionH relativeFrom="margin">
              <wp:align>left</wp:align>
            </wp:positionH>
            <wp:positionV relativeFrom="paragraph">
              <wp:posOffset>37465</wp:posOffset>
            </wp:positionV>
            <wp:extent cx="772795" cy="514985"/>
            <wp:effectExtent l="0" t="0" r="8255" b="0"/>
            <wp:wrapSquare wrapText="bothSides" distT="0" distB="0" distL="114300" distR="114300"/>
            <wp:docPr id="7" name="image3.jp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jpg" descr="Obsah obrázku text&#10;&#10;Popis byl vytvořen automaticky"/>
                    <pic:cNvPicPr preferRelativeResize="0"/>
                  </pic:nvPicPr>
                  <pic:blipFill>
                    <a:blip r:embed="rId9"/>
                    <a:srcRect/>
                    <a:stretch>
                      <a:fillRect/>
                    </a:stretch>
                  </pic:blipFill>
                  <pic:spPr>
                    <a:xfrm>
                      <a:off x="0" y="0"/>
                      <a:ext cx="772795" cy="514985"/>
                    </a:xfrm>
                    <a:prstGeom prst="rect">
                      <a:avLst/>
                    </a:prstGeom>
                    <a:ln/>
                  </pic:spPr>
                </pic:pic>
              </a:graphicData>
            </a:graphic>
          </wp:anchor>
        </w:drawing>
      </w:r>
      <w:r w:rsidRPr="0008612C">
        <w:rPr>
          <w:rFonts w:ascii="Tahoma" w:hAnsi="Tahoma" w:cs="Tahoma"/>
          <w:sz w:val="18"/>
          <w:szCs w:val="18"/>
        </w:rPr>
        <w:t>Jednou z nejdůležitějších rolí AFI je být prvním kontaktním místem pro zahraniční investory, poskytovat jim pomoc s navigací a procesy při rozhodování pro jakékoli zahraniční příchozí podnikání. Pro tento účel AFI vytvořilo v tuzemsku ojedinělý informační web CzechBusinessGuide.com a tištěnou publikaci Business Guidebook. Touto cestou AFI představuje Českou republiku komplexně ve všech makroekonomických ohledech a poskytuje nově příchozím investorům všestranné informace o investování v ČR.</w:t>
      </w:r>
    </w:p>
    <w:sectPr w:rsidR="009C1867" w:rsidRPr="0094358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59287" w14:textId="77777777" w:rsidR="002F6C0C" w:rsidRDefault="002F6C0C" w:rsidP="00943586">
      <w:pPr>
        <w:spacing w:after="0" w:line="240" w:lineRule="auto"/>
      </w:pPr>
      <w:r>
        <w:separator/>
      </w:r>
    </w:p>
  </w:endnote>
  <w:endnote w:type="continuationSeparator" w:id="0">
    <w:p w14:paraId="30A7AFCF" w14:textId="77777777" w:rsidR="002F6C0C" w:rsidRDefault="002F6C0C" w:rsidP="0094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A2D1" w14:textId="77777777" w:rsidR="002F6C0C" w:rsidRDefault="002F6C0C" w:rsidP="00943586">
      <w:pPr>
        <w:spacing w:after="0" w:line="240" w:lineRule="auto"/>
      </w:pPr>
      <w:r>
        <w:separator/>
      </w:r>
    </w:p>
  </w:footnote>
  <w:footnote w:type="continuationSeparator" w:id="0">
    <w:p w14:paraId="7A164873" w14:textId="77777777" w:rsidR="002F6C0C" w:rsidRDefault="002F6C0C" w:rsidP="00943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8931" w14:textId="75FCEAD6" w:rsidR="00943586" w:rsidRDefault="00066CCF" w:rsidP="00943586">
    <w:pPr>
      <w:pStyle w:val="Zhlav"/>
      <w:tabs>
        <w:tab w:val="clear" w:pos="4536"/>
        <w:tab w:val="clear" w:pos="9072"/>
        <w:tab w:val="left" w:pos="848"/>
      </w:tabs>
    </w:pPr>
    <w:r>
      <w:rPr>
        <w:noProof/>
        <w:lang w:eastAsia="cs-CZ"/>
      </w:rPr>
      <w:drawing>
        <wp:anchor distT="0" distB="0" distL="114300" distR="114300" simplePos="0" relativeHeight="251660288" behindDoc="0" locked="0" layoutInCell="1" allowOverlap="1" wp14:anchorId="175175EF" wp14:editId="0E566902">
          <wp:simplePos x="0" y="0"/>
          <wp:positionH relativeFrom="column">
            <wp:posOffset>4984428</wp:posOffset>
          </wp:positionH>
          <wp:positionV relativeFrom="paragraph">
            <wp:posOffset>-152697</wp:posOffset>
          </wp:positionV>
          <wp:extent cx="979715" cy="314259"/>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2211" t="27635" r="10233" b="28009"/>
                  <a:stretch/>
                </pic:blipFill>
                <pic:spPr bwMode="auto">
                  <a:xfrm>
                    <a:off x="0" y="0"/>
                    <a:ext cx="980524" cy="3145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3586">
      <w:rPr>
        <w:noProof/>
        <w:lang w:eastAsia="cs-CZ"/>
      </w:rPr>
      <w:drawing>
        <wp:anchor distT="0" distB="0" distL="114300" distR="114300" simplePos="0" relativeHeight="251659264" behindDoc="0" locked="0" layoutInCell="1" allowOverlap="1" wp14:anchorId="0D98891F" wp14:editId="5D18E09E">
          <wp:simplePos x="0" y="0"/>
          <wp:positionH relativeFrom="margin">
            <wp:align>left</wp:align>
          </wp:positionH>
          <wp:positionV relativeFrom="paragraph">
            <wp:posOffset>-419735</wp:posOffset>
          </wp:positionV>
          <wp:extent cx="866775" cy="866775"/>
          <wp:effectExtent l="0" t="0" r="0" b="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534D5"/>
    <w:multiLevelType w:val="hybridMultilevel"/>
    <w:tmpl w:val="06DEAD5C"/>
    <w:lvl w:ilvl="0" w:tplc="1658A1C2">
      <w:start w:val="6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FD608A"/>
    <w:multiLevelType w:val="hybridMultilevel"/>
    <w:tmpl w:val="7CE86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79"/>
    <w:rsid w:val="000040D6"/>
    <w:rsid w:val="00021209"/>
    <w:rsid w:val="00022240"/>
    <w:rsid w:val="000230B7"/>
    <w:rsid w:val="00035F3A"/>
    <w:rsid w:val="00053CBA"/>
    <w:rsid w:val="00066CCF"/>
    <w:rsid w:val="00074B9A"/>
    <w:rsid w:val="0008600A"/>
    <w:rsid w:val="000861C7"/>
    <w:rsid w:val="000A3F9A"/>
    <w:rsid w:val="000C3F8A"/>
    <w:rsid w:val="000E75C6"/>
    <w:rsid w:val="000F7708"/>
    <w:rsid w:val="00141142"/>
    <w:rsid w:val="0014688A"/>
    <w:rsid w:val="0015298F"/>
    <w:rsid w:val="001D1BD2"/>
    <w:rsid w:val="001E11FD"/>
    <w:rsid w:val="001E1E82"/>
    <w:rsid w:val="001E6877"/>
    <w:rsid w:val="001F19C9"/>
    <w:rsid w:val="00216CD8"/>
    <w:rsid w:val="002D4F8A"/>
    <w:rsid w:val="002D6AF7"/>
    <w:rsid w:val="002F506F"/>
    <w:rsid w:val="002F6C0C"/>
    <w:rsid w:val="00302814"/>
    <w:rsid w:val="003062B5"/>
    <w:rsid w:val="00325AB0"/>
    <w:rsid w:val="00342F3E"/>
    <w:rsid w:val="003441CC"/>
    <w:rsid w:val="00360F05"/>
    <w:rsid w:val="0036215C"/>
    <w:rsid w:val="003B7628"/>
    <w:rsid w:val="003C1C72"/>
    <w:rsid w:val="003D7A5F"/>
    <w:rsid w:val="003F1B54"/>
    <w:rsid w:val="00427F84"/>
    <w:rsid w:val="004306F7"/>
    <w:rsid w:val="00460A61"/>
    <w:rsid w:val="00464554"/>
    <w:rsid w:val="004659CC"/>
    <w:rsid w:val="00471733"/>
    <w:rsid w:val="004736B7"/>
    <w:rsid w:val="00482A1B"/>
    <w:rsid w:val="0049265C"/>
    <w:rsid w:val="004C34A4"/>
    <w:rsid w:val="004D099F"/>
    <w:rsid w:val="004F4979"/>
    <w:rsid w:val="0051793E"/>
    <w:rsid w:val="0052253F"/>
    <w:rsid w:val="00541B02"/>
    <w:rsid w:val="00545030"/>
    <w:rsid w:val="005516E4"/>
    <w:rsid w:val="005629F9"/>
    <w:rsid w:val="00574F1E"/>
    <w:rsid w:val="005B5774"/>
    <w:rsid w:val="005B7279"/>
    <w:rsid w:val="005F33C0"/>
    <w:rsid w:val="00604376"/>
    <w:rsid w:val="006076ED"/>
    <w:rsid w:val="006143C3"/>
    <w:rsid w:val="006874A6"/>
    <w:rsid w:val="00690C01"/>
    <w:rsid w:val="00697782"/>
    <w:rsid w:val="006B5AA0"/>
    <w:rsid w:val="006B78BF"/>
    <w:rsid w:val="006C4242"/>
    <w:rsid w:val="006E7874"/>
    <w:rsid w:val="006F3EF9"/>
    <w:rsid w:val="0070699F"/>
    <w:rsid w:val="007141E4"/>
    <w:rsid w:val="00741C91"/>
    <w:rsid w:val="00763055"/>
    <w:rsid w:val="00766358"/>
    <w:rsid w:val="007A0A8E"/>
    <w:rsid w:val="007A6F43"/>
    <w:rsid w:val="007C4A1B"/>
    <w:rsid w:val="007E59EF"/>
    <w:rsid w:val="008117D7"/>
    <w:rsid w:val="00836F09"/>
    <w:rsid w:val="00842ACF"/>
    <w:rsid w:val="0085417B"/>
    <w:rsid w:val="00855E31"/>
    <w:rsid w:val="00876215"/>
    <w:rsid w:val="008C6C87"/>
    <w:rsid w:val="008E241D"/>
    <w:rsid w:val="008E66C0"/>
    <w:rsid w:val="00902044"/>
    <w:rsid w:val="0093340C"/>
    <w:rsid w:val="00943586"/>
    <w:rsid w:val="00976AE2"/>
    <w:rsid w:val="009A607F"/>
    <w:rsid w:val="009A710D"/>
    <w:rsid w:val="009C1867"/>
    <w:rsid w:val="009C3D23"/>
    <w:rsid w:val="009F108A"/>
    <w:rsid w:val="00A00E4B"/>
    <w:rsid w:val="00A46833"/>
    <w:rsid w:val="00A67082"/>
    <w:rsid w:val="00A75BD8"/>
    <w:rsid w:val="00AA0071"/>
    <w:rsid w:val="00AB04AF"/>
    <w:rsid w:val="00AB133D"/>
    <w:rsid w:val="00AD13EC"/>
    <w:rsid w:val="00AD66E0"/>
    <w:rsid w:val="00B34988"/>
    <w:rsid w:val="00B437EF"/>
    <w:rsid w:val="00B55258"/>
    <w:rsid w:val="00B56F2E"/>
    <w:rsid w:val="00B65B9C"/>
    <w:rsid w:val="00B86289"/>
    <w:rsid w:val="00BC73E8"/>
    <w:rsid w:val="00C001E1"/>
    <w:rsid w:val="00C0287D"/>
    <w:rsid w:val="00C0537D"/>
    <w:rsid w:val="00C3024A"/>
    <w:rsid w:val="00CA5D85"/>
    <w:rsid w:val="00CB0046"/>
    <w:rsid w:val="00CB5DBE"/>
    <w:rsid w:val="00CC2D92"/>
    <w:rsid w:val="00CC3ED7"/>
    <w:rsid w:val="00CE7053"/>
    <w:rsid w:val="00D077E6"/>
    <w:rsid w:val="00D13C36"/>
    <w:rsid w:val="00D279CE"/>
    <w:rsid w:val="00D55029"/>
    <w:rsid w:val="00D87BF5"/>
    <w:rsid w:val="00DA2867"/>
    <w:rsid w:val="00DA599B"/>
    <w:rsid w:val="00DB60D7"/>
    <w:rsid w:val="00DD2A98"/>
    <w:rsid w:val="00DD5EEF"/>
    <w:rsid w:val="00DF7D6D"/>
    <w:rsid w:val="00E2061C"/>
    <w:rsid w:val="00E31DBC"/>
    <w:rsid w:val="00E54C09"/>
    <w:rsid w:val="00E75A2D"/>
    <w:rsid w:val="00EA65AC"/>
    <w:rsid w:val="00EC33C8"/>
    <w:rsid w:val="00EE061E"/>
    <w:rsid w:val="00F2188D"/>
    <w:rsid w:val="00F4306A"/>
    <w:rsid w:val="00F64DD3"/>
    <w:rsid w:val="00F91C5C"/>
    <w:rsid w:val="00FF7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42C8E"/>
  <w15:chartTrackingRefBased/>
  <w15:docId w15:val="{C2799311-1F72-469F-979A-B59ACBE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D6D"/>
    <w:pPr>
      <w:ind w:left="720"/>
      <w:contextualSpacing/>
    </w:pPr>
  </w:style>
  <w:style w:type="paragraph" w:styleId="Textbubliny">
    <w:name w:val="Balloon Text"/>
    <w:basedOn w:val="Normln"/>
    <w:link w:val="TextbublinyChar"/>
    <w:uiPriority w:val="99"/>
    <w:semiHidden/>
    <w:unhideWhenUsed/>
    <w:rsid w:val="0051793E"/>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1793E"/>
    <w:rPr>
      <w:rFonts w:ascii="Times New Roman" w:hAnsi="Times New Roman" w:cs="Times New Roman"/>
      <w:sz w:val="18"/>
      <w:szCs w:val="18"/>
    </w:rPr>
  </w:style>
  <w:style w:type="character" w:styleId="Hypertextovodkaz">
    <w:name w:val="Hyperlink"/>
    <w:basedOn w:val="Standardnpsmoodstavce"/>
    <w:uiPriority w:val="99"/>
    <w:unhideWhenUsed/>
    <w:rsid w:val="002F506F"/>
    <w:rPr>
      <w:color w:val="0563C1" w:themeColor="hyperlink"/>
      <w:u w:val="single"/>
    </w:rPr>
  </w:style>
  <w:style w:type="character" w:customStyle="1" w:styleId="UnresolvedMention">
    <w:name w:val="Unresolved Mention"/>
    <w:basedOn w:val="Standardnpsmoodstavce"/>
    <w:uiPriority w:val="99"/>
    <w:semiHidden/>
    <w:unhideWhenUsed/>
    <w:rsid w:val="002F506F"/>
    <w:rPr>
      <w:color w:val="605E5C"/>
      <w:shd w:val="clear" w:color="auto" w:fill="E1DFDD"/>
    </w:rPr>
  </w:style>
  <w:style w:type="paragraph" w:styleId="Zhlav">
    <w:name w:val="header"/>
    <w:basedOn w:val="Normln"/>
    <w:link w:val="ZhlavChar"/>
    <w:uiPriority w:val="99"/>
    <w:unhideWhenUsed/>
    <w:rsid w:val="009435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586"/>
  </w:style>
  <w:style w:type="paragraph" w:styleId="Zpat">
    <w:name w:val="footer"/>
    <w:basedOn w:val="Normln"/>
    <w:link w:val="ZpatChar"/>
    <w:uiPriority w:val="99"/>
    <w:unhideWhenUsed/>
    <w:rsid w:val="009435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586"/>
  </w:style>
  <w:style w:type="paragraph" w:styleId="Normlnweb">
    <w:name w:val="Normal (Web)"/>
    <w:basedOn w:val="Normln"/>
    <w:uiPriority w:val="99"/>
    <w:semiHidden/>
    <w:unhideWhenUsed/>
    <w:rsid w:val="00AD13E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4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07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4569">
      <w:bodyDiv w:val="1"/>
      <w:marLeft w:val="0"/>
      <w:marRight w:val="0"/>
      <w:marTop w:val="0"/>
      <w:marBottom w:val="0"/>
      <w:divBdr>
        <w:top w:val="none" w:sz="0" w:space="0" w:color="auto"/>
        <w:left w:val="none" w:sz="0" w:space="0" w:color="auto"/>
        <w:bottom w:val="none" w:sz="0" w:space="0" w:color="auto"/>
        <w:right w:val="none" w:sz="0" w:space="0" w:color="auto"/>
      </w:divBdr>
    </w:div>
    <w:div w:id="1400709935">
      <w:bodyDiv w:val="1"/>
      <w:marLeft w:val="0"/>
      <w:marRight w:val="0"/>
      <w:marTop w:val="0"/>
      <w:marBottom w:val="0"/>
      <w:divBdr>
        <w:top w:val="none" w:sz="0" w:space="0" w:color="auto"/>
        <w:left w:val="none" w:sz="0" w:space="0" w:color="auto"/>
        <w:bottom w:val="none" w:sz="0" w:space="0" w:color="auto"/>
        <w:right w:val="none" w:sz="0" w:space="0" w:color="auto"/>
      </w:divBdr>
    </w:div>
    <w:div w:id="1847553380">
      <w:bodyDiv w:val="1"/>
      <w:marLeft w:val="0"/>
      <w:marRight w:val="0"/>
      <w:marTop w:val="0"/>
      <w:marBottom w:val="0"/>
      <w:divBdr>
        <w:top w:val="none" w:sz="0" w:space="0" w:color="auto"/>
        <w:left w:val="none" w:sz="0" w:space="0" w:color="auto"/>
        <w:bottom w:val="none" w:sz="0" w:space="0" w:color="auto"/>
        <w:right w:val="none" w:sz="0" w:space="0" w:color="auto"/>
      </w:divBdr>
    </w:div>
    <w:div w:id="1896313340">
      <w:bodyDiv w:val="1"/>
      <w:marLeft w:val="0"/>
      <w:marRight w:val="0"/>
      <w:marTop w:val="0"/>
      <w:marBottom w:val="0"/>
      <w:divBdr>
        <w:top w:val="none" w:sz="0" w:space="0" w:color="auto"/>
        <w:left w:val="none" w:sz="0" w:space="0" w:color="auto"/>
        <w:bottom w:val="none" w:sz="0" w:space="0" w:color="auto"/>
        <w:right w:val="none" w:sz="0" w:space="0" w:color="auto"/>
      </w:divBdr>
    </w:div>
    <w:div w:id="1942764057">
      <w:bodyDiv w:val="1"/>
      <w:marLeft w:val="0"/>
      <w:marRight w:val="0"/>
      <w:marTop w:val="0"/>
      <w:marBottom w:val="0"/>
      <w:divBdr>
        <w:top w:val="none" w:sz="0" w:space="0" w:color="auto"/>
        <w:left w:val="none" w:sz="0" w:space="0" w:color="auto"/>
        <w:bottom w:val="none" w:sz="0" w:space="0" w:color="auto"/>
        <w:right w:val="none" w:sz="0" w:space="0" w:color="auto"/>
      </w:divBdr>
    </w:div>
    <w:div w:id="20007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3219</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Novotna</dc:creator>
  <cp:keywords/>
  <dc:description/>
  <cp:lastModifiedBy>Šťástková Hana</cp:lastModifiedBy>
  <cp:revision>2</cp:revision>
  <cp:lastPrinted>2022-11-23T08:31:00Z</cp:lastPrinted>
  <dcterms:created xsi:type="dcterms:W3CDTF">2022-11-23T08:32:00Z</dcterms:created>
  <dcterms:modified xsi:type="dcterms:W3CDTF">2022-11-23T08:32:00Z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2022-09-19T08:01:59Z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a88f1f70-20cf-4728-96d4-5f4050c11869</vt:lpwstr>
  </property>
  <property fmtid="{D5CDD505-2E9C-101B-9397-08002B2CF9AE}" pid="8" name="MSIP_Label_215ad6d0-798b-44f9-b3fd-112ad6275fb4_ContentBits">
    <vt:lpwstr>2</vt:lpwstr>
  </property>
</Properties>
</file>